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3224C700" w14:textId="1BA95F8E" w:rsidR="002E5B3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>Posudek oponenta diplomové práce –</w:t>
      </w:r>
      <w:r w:rsidR="00275773">
        <w:rPr>
          <w:b/>
          <w:sz w:val="28"/>
          <w:szCs w:val="28"/>
        </w:rPr>
        <w:t xml:space="preserve"> </w:t>
      </w:r>
      <w:r w:rsidR="00A74ED2">
        <w:rPr>
          <w:b/>
          <w:sz w:val="28"/>
          <w:szCs w:val="28"/>
        </w:rPr>
        <w:t>teoretická</w:t>
      </w:r>
      <w:r>
        <w:rPr>
          <w:b/>
          <w:sz w:val="28"/>
          <w:szCs w:val="28"/>
        </w:rPr>
        <w:t xml:space="preserve"> část</w:t>
      </w:r>
    </w:p>
    <w:p w14:paraId="513397D0" w14:textId="77777777" w:rsidR="00275773" w:rsidRPr="007A24FF" w:rsidRDefault="00275773" w:rsidP="002E5B3F">
      <w:pPr>
        <w:spacing w:after="0"/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5A9C9103" w:rsidR="002E5B3F" w:rsidRPr="00D228C6" w:rsidRDefault="00275773" w:rsidP="00D228C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BcA</w:t>
            </w:r>
            <w:proofErr w:type="spellEnd"/>
            <w:r>
              <w:rPr>
                <w:b/>
                <w:szCs w:val="24"/>
              </w:rPr>
              <w:t xml:space="preserve">. </w:t>
            </w:r>
            <w:r w:rsidR="004D5EB3">
              <w:rPr>
                <w:b/>
                <w:szCs w:val="24"/>
              </w:rPr>
              <w:t xml:space="preserve">Veronika </w:t>
            </w:r>
            <w:proofErr w:type="spellStart"/>
            <w:r w:rsidR="004D5EB3">
              <w:rPr>
                <w:b/>
                <w:szCs w:val="24"/>
              </w:rPr>
              <w:t>Kornasová</w:t>
            </w:r>
            <w:proofErr w:type="spellEnd"/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69984B27" w:rsidR="002E5B3F" w:rsidRPr="00D228C6" w:rsidRDefault="0027577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30A6C31C" w:rsidR="002E5B3F" w:rsidRPr="00D228C6" w:rsidRDefault="0027577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design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2EE53B8C" w:rsidR="002E5B3F" w:rsidRPr="00D228C6" w:rsidRDefault="00275773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7E5AF270" w:rsidR="002E5B3F" w:rsidRPr="00D228C6" w:rsidRDefault="0027577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2B877D54" w:rsidR="002E5B3F" w:rsidRPr="00D228C6" w:rsidRDefault="004D5EB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Komunikační kampaň na podporu prevence v oblasti psychického zdraví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67A417E" w14:textId="77777777" w:rsidR="004D5EB3" w:rsidRPr="004D5EB3" w:rsidRDefault="004D5EB3" w:rsidP="004D5EB3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b/>
                <w:bCs/>
                <w:szCs w:val="24"/>
              </w:rPr>
            </w:pPr>
            <w:r w:rsidRPr="004D5EB3">
              <w:rPr>
                <w:b/>
                <w:bCs/>
                <w:szCs w:val="24"/>
              </w:rPr>
              <w:t>PhDr. Tomáš Šula, Ph.D.</w:t>
            </w:r>
          </w:p>
          <w:p w14:paraId="58F82FC6" w14:textId="0B458E8C" w:rsidR="002E5B3F" w:rsidRPr="004D5EB3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3958CC00" w14:textId="0CB273AB" w:rsidR="00EF706C" w:rsidRDefault="002D0DF8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Úvodem je nutné konstatovat, že vybrané téma výše uvedené diplomantky je mimořádně aktuální a v kontextu stávající doby a stavu psychického zdraví především u mládeže je jakékoli zpracování hodnotné a je možné doufat, že do budoucna bude těchto nadmíru důležitých aktivit přibývat. </w:t>
      </w:r>
      <w:r w:rsidR="00486E2B">
        <w:rPr>
          <w:szCs w:val="24"/>
        </w:rPr>
        <w:t xml:space="preserve">Digitální služby jsou zcela jistě dobrým způsobem, jak tuto tematiku posunout správným směrem a zajistit kvalitní a dostupné podmínky pro řešení těchto zdravotních problémů. </w:t>
      </w:r>
    </w:p>
    <w:p w14:paraId="350C1DD2" w14:textId="2CE0CBB2" w:rsidR="006425DF" w:rsidRDefault="006425DF" w:rsidP="00CD5972">
      <w:pPr>
        <w:spacing w:after="0"/>
        <w:jc w:val="both"/>
        <w:rPr>
          <w:szCs w:val="24"/>
        </w:rPr>
      </w:pPr>
    </w:p>
    <w:p w14:paraId="46F32D4D" w14:textId="179B29A3" w:rsidR="006425DF" w:rsidRDefault="006425DF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V abstraktu autorka hovoří o CS </w:t>
      </w:r>
      <w:proofErr w:type="gramStart"/>
      <w:r>
        <w:rPr>
          <w:szCs w:val="24"/>
        </w:rPr>
        <w:t>13 – 25</w:t>
      </w:r>
      <w:proofErr w:type="gramEnd"/>
      <w:r>
        <w:rPr>
          <w:szCs w:val="24"/>
        </w:rPr>
        <w:t xml:space="preserve"> let, ale v praktické části práce hovoří o CS 15 – 26 let, zde by bylo žádoucí držet celkově jednotu a v tomto případě, uvažovat i mladší spektrum CS, tedy od 13. Ostatně v současné době o tomto hovoří i ministr zdravotnictví a nejohroženější skupinu označuje za „dorost“. </w:t>
      </w:r>
    </w:p>
    <w:p w14:paraId="5F21CD94" w14:textId="2ED880D5" w:rsidR="002D0DF8" w:rsidRDefault="002D0DF8" w:rsidP="00CD5972">
      <w:pPr>
        <w:spacing w:after="0"/>
        <w:jc w:val="both"/>
        <w:rPr>
          <w:szCs w:val="24"/>
        </w:rPr>
      </w:pPr>
    </w:p>
    <w:p w14:paraId="42D32B98" w14:textId="2681C68A" w:rsidR="002D0DF8" w:rsidRDefault="002D0DF8" w:rsidP="00CD5972">
      <w:pPr>
        <w:spacing w:after="0"/>
        <w:jc w:val="both"/>
        <w:rPr>
          <w:szCs w:val="24"/>
        </w:rPr>
      </w:pPr>
      <w:r>
        <w:rPr>
          <w:szCs w:val="24"/>
        </w:rPr>
        <w:t>Z pohledu struktury práce se dá říci, že je standardizovaná a nevykazuje žádné anomálie, které by danou část v rámci hodnocení jakkoli zatížily. Samozřejmě je zde možné vidět potenciál k důkladnějšímu strukturování, kdy by se jasněji oddělila námětová/tematická základna proti části, která pojednává o samotn</w:t>
      </w:r>
      <w:r w:rsidR="00FE349A">
        <w:rPr>
          <w:szCs w:val="24"/>
        </w:rPr>
        <w:t>ých</w:t>
      </w:r>
      <w:r>
        <w:rPr>
          <w:szCs w:val="24"/>
        </w:rPr>
        <w:t xml:space="preserve"> řešení, avšak není třeba a je možné takto uvedené akceptovat a respektovat autorské podání.</w:t>
      </w:r>
    </w:p>
    <w:p w14:paraId="1BC196E4" w14:textId="6CC66478" w:rsidR="002D0DF8" w:rsidRDefault="002D0DF8" w:rsidP="00CD5972">
      <w:pPr>
        <w:spacing w:after="0"/>
        <w:jc w:val="both"/>
        <w:rPr>
          <w:szCs w:val="24"/>
        </w:rPr>
      </w:pPr>
    </w:p>
    <w:p w14:paraId="084AD622" w14:textId="0F1F7B1F" w:rsidR="008378F9" w:rsidRDefault="002D0DF8" w:rsidP="00CD5972">
      <w:pPr>
        <w:spacing w:after="0"/>
        <w:jc w:val="both"/>
        <w:rPr>
          <w:szCs w:val="24"/>
        </w:rPr>
      </w:pPr>
      <w:r>
        <w:rPr>
          <w:szCs w:val="24"/>
        </w:rPr>
        <w:t>Z obsahového hlediska</w:t>
      </w:r>
      <w:r w:rsidR="008378F9">
        <w:rPr>
          <w:szCs w:val="24"/>
        </w:rPr>
        <w:t xml:space="preserve">, primárně ve smyslu pojetí celé problematiky, absentuje komplexnější popis problémů týkající se psychického zdraví. Autorka klade důraz na tematiku sebepoškozování a sebevraždy, avšak toto není ultimativním výčtem, typově je oblastí výrazně více. </w:t>
      </w:r>
    </w:p>
    <w:p w14:paraId="00B66501" w14:textId="77777777" w:rsidR="008378F9" w:rsidRDefault="008378F9" w:rsidP="00CD5972">
      <w:pPr>
        <w:spacing w:after="0"/>
        <w:jc w:val="both"/>
        <w:rPr>
          <w:szCs w:val="24"/>
        </w:rPr>
      </w:pPr>
    </w:p>
    <w:p w14:paraId="12093FEA" w14:textId="6AED5E8B" w:rsidR="002D0DF8" w:rsidRDefault="008378F9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Dále </w:t>
      </w:r>
      <w:r w:rsidR="002D0DF8">
        <w:rPr>
          <w:szCs w:val="24"/>
        </w:rPr>
        <w:t xml:space="preserve">(s přihlédnutím na požadovaný rozsah) mi v rámci kapitoly 3 chybí jakýkoli akcent na lokální prostředí. Autorka uvádí zahraniční příklady, byť i v České republice máme (byť pramálo) ukázkových příkladů z této oblasti. Příkladem budiž projekt </w:t>
      </w:r>
      <w:proofErr w:type="spellStart"/>
      <w:r w:rsidR="002D0DF8">
        <w:rPr>
          <w:szCs w:val="24"/>
        </w:rPr>
        <w:t>Hedepy</w:t>
      </w:r>
      <w:proofErr w:type="spellEnd"/>
      <w:r w:rsidR="002D0DF8">
        <w:rPr>
          <w:szCs w:val="24"/>
        </w:rPr>
        <w:t xml:space="preserve"> (</w:t>
      </w:r>
      <w:r w:rsidR="002D0DF8" w:rsidRPr="002D0DF8">
        <w:rPr>
          <w:szCs w:val="24"/>
        </w:rPr>
        <w:t>https://hedepy.cz/</w:t>
      </w:r>
      <w:r w:rsidR="002D0DF8">
        <w:rPr>
          <w:szCs w:val="24"/>
        </w:rPr>
        <w:t xml:space="preserve">), což je faktický </w:t>
      </w:r>
      <w:proofErr w:type="gramStart"/>
      <w:r w:rsidR="002D0DF8">
        <w:rPr>
          <w:szCs w:val="24"/>
        </w:rPr>
        <w:t>produkt</w:t>
      </w:r>
      <w:proofErr w:type="gramEnd"/>
      <w:r w:rsidR="002D0DF8">
        <w:rPr>
          <w:szCs w:val="24"/>
        </w:rPr>
        <w:t xml:space="preserve"> resp. služba a zároveň má za sebou dostatek komunikace tak, aby bylo možné jej považovat za adekvátní. Navíc nutno zmínit, že tento velice </w:t>
      </w:r>
      <w:r w:rsidR="00AC6E1B">
        <w:rPr>
          <w:szCs w:val="24"/>
        </w:rPr>
        <w:t>ú</w:t>
      </w:r>
      <w:r w:rsidR="002D0DF8">
        <w:rPr>
          <w:szCs w:val="24"/>
        </w:rPr>
        <w:t xml:space="preserve">spěšný projekt pochází takříkajíc „z pera“ absolventů naší fakulty. Absence </w:t>
      </w:r>
      <w:r w:rsidR="00FE349A">
        <w:rPr>
          <w:szCs w:val="24"/>
        </w:rPr>
        <w:t>českého příkladu</w:t>
      </w:r>
      <w:r w:rsidR="002D0DF8">
        <w:rPr>
          <w:szCs w:val="24"/>
        </w:rPr>
        <w:t xml:space="preserve"> v dané kapitole </w:t>
      </w:r>
      <w:r w:rsidR="00FE349A">
        <w:rPr>
          <w:szCs w:val="24"/>
        </w:rPr>
        <w:t xml:space="preserve">může svým způsobem ovlivnit vnímání a pohled na danou </w:t>
      </w:r>
      <w:r w:rsidR="00FE349A">
        <w:rPr>
          <w:szCs w:val="24"/>
        </w:rPr>
        <w:lastRenderedPageBreak/>
        <w:t xml:space="preserve">problematiku. Pokud bychom měli vycházet pouze ze zahraničních příkladů, tak vhodnost řešení z praktické části práce je diskutabilní. Důvodem jsou mezikulturní rozdíly, které jsou zásadní a značným způsobem ovlivňují jakýkoli typ komunikace. V případě, že by daná komunikace měla být realizována je doporučení hodné zvážit tuto problematiku a obrátit se minimálně na některé základní </w:t>
      </w:r>
      <w:proofErr w:type="gramStart"/>
      <w:r w:rsidR="00FE349A">
        <w:rPr>
          <w:szCs w:val="24"/>
        </w:rPr>
        <w:t>zdroje</w:t>
      </w:r>
      <w:proofErr w:type="gramEnd"/>
      <w:r w:rsidR="00FE349A">
        <w:rPr>
          <w:szCs w:val="24"/>
        </w:rPr>
        <w:t xml:space="preserve"> resp. autory, kteří o tomto pojednávají a aplikovat zjištěné do praxe (mimo to i zjištění z realizovaných šetření). Příkladem budiž práce </w:t>
      </w:r>
      <w:proofErr w:type="spellStart"/>
      <w:r w:rsidR="00FE349A">
        <w:rPr>
          <w:szCs w:val="24"/>
        </w:rPr>
        <w:t>Geerta</w:t>
      </w:r>
      <w:proofErr w:type="spellEnd"/>
      <w:r w:rsidR="00FE349A">
        <w:rPr>
          <w:szCs w:val="24"/>
        </w:rPr>
        <w:t xml:space="preserve"> </w:t>
      </w:r>
      <w:proofErr w:type="spellStart"/>
      <w:r w:rsidR="00FE349A">
        <w:rPr>
          <w:szCs w:val="24"/>
        </w:rPr>
        <w:t>Hofstedeho</w:t>
      </w:r>
      <w:proofErr w:type="spellEnd"/>
      <w:r w:rsidR="00FE349A">
        <w:rPr>
          <w:szCs w:val="24"/>
        </w:rPr>
        <w:t xml:space="preserve"> </w:t>
      </w:r>
      <w:proofErr w:type="gramStart"/>
      <w:r w:rsidR="00FE349A">
        <w:rPr>
          <w:szCs w:val="24"/>
        </w:rPr>
        <w:t xml:space="preserve">či  </w:t>
      </w:r>
      <w:proofErr w:type="spellStart"/>
      <w:r w:rsidR="00FE349A">
        <w:rPr>
          <w:szCs w:val="24"/>
        </w:rPr>
        <w:t>Fonse</w:t>
      </w:r>
      <w:proofErr w:type="spellEnd"/>
      <w:proofErr w:type="gramEnd"/>
      <w:r w:rsidR="00FE349A">
        <w:rPr>
          <w:szCs w:val="24"/>
        </w:rPr>
        <w:t xml:space="preserve"> </w:t>
      </w:r>
      <w:proofErr w:type="spellStart"/>
      <w:r w:rsidR="00FE349A">
        <w:rPr>
          <w:szCs w:val="24"/>
        </w:rPr>
        <w:t>Trompenarse</w:t>
      </w:r>
      <w:proofErr w:type="spellEnd"/>
      <w:r w:rsidR="00FE349A">
        <w:rPr>
          <w:szCs w:val="24"/>
        </w:rPr>
        <w:t xml:space="preserve">. </w:t>
      </w:r>
    </w:p>
    <w:p w14:paraId="34998D59" w14:textId="01D05505" w:rsidR="00FE349A" w:rsidRDefault="00FE349A" w:rsidP="00CD5972">
      <w:pPr>
        <w:spacing w:after="0"/>
        <w:jc w:val="both"/>
        <w:rPr>
          <w:szCs w:val="24"/>
        </w:rPr>
      </w:pPr>
    </w:p>
    <w:p w14:paraId="3B5C1D91" w14:textId="10F49D1B" w:rsidR="006329D0" w:rsidRDefault="00FE349A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Kladně hodnotím, byť stručný a obecný, závěr teoretické části práce, kdy autorka stanovuje východiska pro realizaci praktické části kvalifikační práce. </w:t>
      </w:r>
    </w:p>
    <w:p w14:paraId="133BC0A5" w14:textId="765A3761" w:rsidR="008378F9" w:rsidRDefault="008378F9" w:rsidP="00CD5972">
      <w:pPr>
        <w:spacing w:after="0"/>
        <w:jc w:val="both"/>
        <w:rPr>
          <w:szCs w:val="24"/>
        </w:rPr>
      </w:pPr>
    </w:p>
    <w:p w14:paraId="63131635" w14:textId="57E99023" w:rsidR="006329D0" w:rsidRDefault="006425DF" w:rsidP="00CD5972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Celkově je možné vnímat teoretickou část za dobré východisko, byť místy svým úzkým záběrem za lehce omezující. </w:t>
      </w:r>
    </w:p>
    <w:p w14:paraId="4345419B" w14:textId="77777777" w:rsidR="008378F9" w:rsidRPr="000A7C26" w:rsidRDefault="008378F9" w:rsidP="00CD5972">
      <w:pPr>
        <w:spacing w:after="0"/>
        <w:jc w:val="both"/>
        <w:rPr>
          <w:szCs w:val="24"/>
          <w:lang w:val="pl-PL"/>
        </w:rPr>
      </w:pPr>
    </w:p>
    <w:p w14:paraId="6E47CB90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53594B1F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664DA1BE" w14:textId="16CC1F16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Návrh klasifikace  </w:t>
      </w:r>
      <w:r w:rsidRPr="007A24FF">
        <w:rPr>
          <w:szCs w:val="24"/>
          <w:lang w:val="pl-PL"/>
        </w:rPr>
        <w:tab/>
      </w:r>
      <w:r w:rsidR="006425DF">
        <w:rPr>
          <w:szCs w:val="24"/>
          <w:lang w:val="pl-PL"/>
        </w:rPr>
        <w:t>B/C – velmi dobře/dobře, dle obhajoby</w:t>
      </w:r>
    </w:p>
    <w:p w14:paraId="4B42DC00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5EFECE01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7031ECAE" w14:textId="045305BF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Ve </w:t>
      </w:r>
      <w:r w:rsidR="006425DF">
        <w:rPr>
          <w:szCs w:val="24"/>
          <w:lang w:val="pl-PL"/>
        </w:rPr>
        <w:t>Zlíně</w:t>
      </w:r>
      <w:r w:rsidRPr="007A24FF">
        <w:rPr>
          <w:szCs w:val="24"/>
          <w:lang w:val="pl-PL"/>
        </w:rPr>
        <w:t xml:space="preserve"> dne </w:t>
      </w:r>
      <w:r w:rsidR="006425DF">
        <w:rPr>
          <w:szCs w:val="24"/>
          <w:lang w:val="pl-PL"/>
        </w:rPr>
        <w:t>20. 5. 2024</w:t>
      </w:r>
    </w:p>
    <w:p w14:paraId="4651B3C4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476A370D" w14:textId="77777777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50CEC730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</w:t>
            </w:r>
            <w:proofErr w:type="gramStart"/>
            <w:r w:rsidRPr="00952BAD">
              <w:rPr>
                <w:sz w:val="20"/>
              </w:rPr>
              <w:t>A - výborně</w:t>
            </w:r>
            <w:proofErr w:type="gramEnd"/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B - velmi</w:t>
            </w:r>
            <w:proofErr w:type="gramEnd"/>
            <w:r w:rsidRPr="00952BAD">
              <w:rPr>
                <w:sz w:val="20"/>
              </w:rPr>
              <w:t xml:space="preserve">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C - dobře</w:t>
            </w:r>
            <w:proofErr w:type="gramEnd"/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D - uspokojivě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E - dostatečně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F - nedostatečně</w:t>
            </w:r>
            <w:proofErr w:type="gramEnd"/>
          </w:p>
        </w:tc>
      </w:tr>
    </w:tbl>
    <w:p w14:paraId="54C7D4BD" w14:textId="77777777" w:rsidR="002E5B3F" w:rsidRDefault="002E5B3F" w:rsidP="002E5B3F">
      <w:pPr>
        <w:spacing w:after="0"/>
        <w:jc w:val="both"/>
      </w:pPr>
    </w:p>
    <w:p w14:paraId="11393D51" w14:textId="77777777" w:rsidR="002E5B3F" w:rsidRDefault="002E5B3F" w:rsidP="002E5B3F">
      <w:pPr>
        <w:spacing w:after="0"/>
        <w:jc w:val="both"/>
        <w:rPr>
          <w:szCs w:val="24"/>
        </w:rPr>
      </w:pPr>
    </w:p>
    <w:p w14:paraId="5BF1FA0E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4E4EF" w14:textId="77777777" w:rsidR="00334999" w:rsidRDefault="00334999" w:rsidP="005A4D36">
      <w:pPr>
        <w:spacing w:after="0"/>
      </w:pPr>
      <w:r>
        <w:separator/>
      </w:r>
    </w:p>
  </w:endnote>
  <w:endnote w:type="continuationSeparator" w:id="0">
    <w:p w14:paraId="1428826E" w14:textId="77777777" w:rsidR="00334999" w:rsidRDefault="00334999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1AF0F" w14:textId="77777777" w:rsidR="00334999" w:rsidRDefault="00334999" w:rsidP="005A4D36">
      <w:pPr>
        <w:spacing w:after="0"/>
      </w:pPr>
      <w:r>
        <w:separator/>
      </w:r>
    </w:p>
  </w:footnote>
  <w:footnote w:type="continuationSeparator" w:id="0">
    <w:p w14:paraId="652CA5CA" w14:textId="77777777" w:rsidR="00334999" w:rsidRDefault="00334999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77777777" w:rsidR="005A4D36" w:rsidRDefault="00302EBE" w:rsidP="005A4D36">
          <w:pPr>
            <w:pStyle w:val="Zhlav"/>
            <w:ind w:left="0"/>
            <w:jc w:val="center"/>
          </w:pPr>
          <w:r>
            <w:pict w14:anchorId="1BC264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8pt;height:81.6pt">
                <v:imagedata r:id="rId1" o:title="fmk_logo_cz"/>
              </v:shape>
            </w:pict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A7C26"/>
    <w:rsid w:val="000C6557"/>
    <w:rsid w:val="0019484C"/>
    <w:rsid w:val="001C7604"/>
    <w:rsid w:val="00275773"/>
    <w:rsid w:val="00284EFD"/>
    <w:rsid w:val="002C2146"/>
    <w:rsid w:val="002D0DF8"/>
    <w:rsid w:val="002E5B3F"/>
    <w:rsid w:val="00302EBE"/>
    <w:rsid w:val="00320661"/>
    <w:rsid w:val="00334999"/>
    <w:rsid w:val="003762C4"/>
    <w:rsid w:val="003A5A41"/>
    <w:rsid w:val="00486E2B"/>
    <w:rsid w:val="004D5EB3"/>
    <w:rsid w:val="004F69CC"/>
    <w:rsid w:val="00513F1E"/>
    <w:rsid w:val="005A4D36"/>
    <w:rsid w:val="005C03DA"/>
    <w:rsid w:val="006329D0"/>
    <w:rsid w:val="006425DF"/>
    <w:rsid w:val="00721726"/>
    <w:rsid w:val="007A64F7"/>
    <w:rsid w:val="007C138A"/>
    <w:rsid w:val="00820C1E"/>
    <w:rsid w:val="00821E96"/>
    <w:rsid w:val="008378F9"/>
    <w:rsid w:val="00890166"/>
    <w:rsid w:val="009571C4"/>
    <w:rsid w:val="00A216E8"/>
    <w:rsid w:val="00A64177"/>
    <w:rsid w:val="00A74ED2"/>
    <w:rsid w:val="00A757A5"/>
    <w:rsid w:val="00AC6E1B"/>
    <w:rsid w:val="00AE20CA"/>
    <w:rsid w:val="00B558D4"/>
    <w:rsid w:val="00B7376F"/>
    <w:rsid w:val="00B752D2"/>
    <w:rsid w:val="00CD5972"/>
    <w:rsid w:val="00CF7F52"/>
    <w:rsid w:val="00D228C6"/>
    <w:rsid w:val="00D77369"/>
    <w:rsid w:val="00DE7EDE"/>
    <w:rsid w:val="00DF53A6"/>
    <w:rsid w:val="00E25B3F"/>
    <w:rsid w:val="00EF706C"/>
    <w:rsid w:val="00F025A4"/>
    <w:rsid w:val="00F238C4"/>
    <w:rsid w:val="00F74CF3"/>
    <w:rsid w:val="00F94000"/>
    <w:rsid w:val="00FE349A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Nadpis3">
    <w:name w:val="heading 3"/>
    <w:basedOn w:val="Normln"/>
    <w:link w:val="Nadpis3Char"/>
    <w:uiPriority w:val="9"/>
    <w:qFormat/>
    <w:rsid w:val="004D5EB3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4D5EB3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277229-3E48-4EDD-ACD7-896CE4FE7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EA7EF-D23A-45B7-A3E5-52256B974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4C1C5-52F5-48CE-9A90-354F93403411}">
  <ds:schemaRefs>
    <ds:schemaRef ds:uri="http://purl.org/dc/terms/"/>
    <ds:schemaRef ds:uri="00406292-4964-4929-9097-6365269a3cbe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3076</Characters>
  <Application>Microsoft Office Word</Application>
  <DocSecurity>4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Hana Marečková</cp:lastModifiedBy>
  <cp:revision>2</cp:revision>
  <cp:lastPrinted>2010-03-31T07:29:00Z</cp:lastPrinted>
  <dcterms:created xsi:type="dcterms:W3CDTF">2024-05-21T07:14:00Z</dcterms:created>
  <dcterms:modified xsi:type="dcterms:W3CDTF">2024-05-21T07:14:00Z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