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89B3BE2" w14:textId="77777777" w:rsidTr="00C50B27">
        <w:tc>
          <w:tcPr>
            <w:tcW w:w="9828" w:type="dxa"/>
            <w:gridSpan w:val="9"/>
          </w:tcPr>
          <w:p w14:paraId="1F3753EC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33CDE97" w14:textId="77777777" w:rsidTr="00C50B27">
        <w:tc>
          <w:tcPr>
            <w:tcW w:w="2808" w:type="dxa"/>
          </w:tcPr>
          <w:p w14:paraId="66551A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9F7D1EA" w14:textId="2E09697B" w:rsidR="006847E2" w:rsidRPr="00C50B27" w:rsidRDefault="00D010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D264A3">
              <w:rPr>
                <w:sz w:val="22"/>
                <w:szCs w:val="22"/>
              </w:rPr>
              <w:t>Tereza Tihlaříková</w:t>
            </w:r>
          </w:p>
        </w:tc>
      </w:tr>
      <w:tr w:rsidR="006847E2" w:rsidRPr="00C50B27" w14:paraId="0BAE2D17" w14:textId="77777777" w:rsidTr="00C50B27">
        <w:tc>
          <w:tcPr>
            <w:tcW w:w="2808" w:type="dxa"/>
          </w:tcPr>
          <w:p w14:paraId="313425D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89D756A" w14:textId="7602B081" w:rsidR="006847E2" w:rsidRPr="00C50B27" w:rsidRDefault="00D264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Riziková hra pohledem rodičů dětí předškolního věku</w:t>
            </w:r>
          </w:p>
        </w:tc>
      </w:tr>
      <w:tr w:rsidR="006847E2" w:rsidRPr="00C50B27" w14:paraId="212CFA57" w14:textId="77777777" w:rsidTr="00C50B27">
        <w:tc>
          <w:tcPr>
            <w:tcW w:w="2808" w:type="dxa"/>
          </w:tcPr>
          <w:p w14:paraId="34048D12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2DA4AA7B" w14:textId="77777777" w:rsidR="006847E2" w:rsidRPr="00C50B27" w:rsidRDefault="00D010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5855746B" w14:textId="77777777" w:rsidTr="00C50B27">
        <w:tc>
          <w:tcPr>
            <w:tcW w:w="2808" w:type="dxa"/>
          </w:tcPr>
          <w:p w14:paraId="558CA449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F8765B4" w14:textId="77777777" w:rsidR="006847E2" w:rsidRPr="00C50B27" w:rsidRDefault="00D010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7E1CDF7" w14:textId="77777777" w:rsidTr="00C50B27">
        <w:tc>
          <w:tcPr>
            <w:tcW w:w="2808" w:type="dxa"/>
          </w:tcPr>
          <w:p w14:paraId="616018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E94A745" w14:textId="726B8790" w:rsidR="006847E2" w:rsidRPr="00C50B27" w:rsidRDefault="00857A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  <w:bookmarkStart w:id="0" w:name="_GoBack"/>
            <w:bookmarkEnd w:id="0"/>
          </w:p>
        </w:tc>
      </w:tr>
      <w:tr w:rsidR="006847E2" w:rsidRPr="00C50B27" w14:paraId="2F56B479" w14:textId="77777777" w:rsidTr="00C50B27">
        <w:tc>
          <w:tcPr>
            <w:tcW w:w="2808" w:type="dxa"/>
            <w:vAlign w:val="center"/>
          </w:tcPr>
          <w:p w14:paraId="5CA77D0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0738E5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C29816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602652D" w14:textId="77777777" w:rsidTr="00C50B27">
        <w:tc>
          <w:tcPr>
            <w:tcW w:w="9828" w:type="dxa"/>
            <w:gridSpan w:val="9"/>
            <w:shd w:val="clear" w:color="auto" w:fill="A6A6A6"/>
          </w:tcPr>
          <w:p w14:paraId="2C564E3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877D7C5" w14:textId="77777777" w:rsidTr="00C50B27">
        <w:tc>
          <w:tcPr>
            <w:tcW w:w="6791" w:type="dxa"/>
            <w:gridSpan w:val="3"/>
          </w:tcPr>
          <w:p w14:paraId="24F02BB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CCADA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D3DE4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7509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707BE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35201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1C9B1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B231EB1" w14:textId="77777777" w:rsidTr="00C50B27">
        <w:tc>
          <w:tcPr>
            <w:tcW w:w="6791" w:type="dxa"/>
            <w:gridSpan w:val="3"/>
          </w:tcPr>
          <w:p w14:paraId="489D5C6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7EFED2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6AFC4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5C8E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D4920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F21C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443E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71B56B6" w14:textId="77777777" w:rsidTr="00C50B27">
        <w:tc>
          <w:tcPr>
            <w:tcW w:w="6791" w:type="dxa"/>
            <w:gridSpan w:val="3"/>
          </w:tcPr>
          <w:p w14:paraId="0D5D70B4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4B95B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5F304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1017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5D37E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359E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210BC7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431D84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EDA35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A0491BB" w14:textId="77777777" w:rsidTr="00C50B27">
        <w:tc>
          <w:tcPr>
            <w:tcW w:w="6791" w:type="dxa"/>
            <w:gridSpan w:val="3"/>
          </w:tcPr>
          <w:p w14:paraId="67435AEF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E046AAD" w14:textId="09478A72" w:rsidR="006847E2" w:rsidRPr="00C50B27" w:rsidRDefault="004D4FF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7D3F3F" w14:textId="4C56F8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F029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8470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E9AD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3B175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9D10C50" w14:textId="77777777" w:rsidTr="00C50B27">
        <w:tc>
          <w:tcPr>
            <w:tcW w:w="6791" w:type="dxa"/>
            <w:gridSpan w:val="3"/>
          </w:tcPr>
          <w:p w14:paraId="0C578DFA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5EE5789" w14:textId="1896F708" w:rsidR="006847E2" w:rsidRPr="00C50B27" w:rsidRDefault="004D4FF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A0E095" w14:textId="18D8B2F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D4AE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3F5C4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C2DE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ED89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7E5266C" w14:textId="77777777" w:rsidTr="00C50B27">
        <w:tc>
          <w:tcPr>
            <w:tcW w:w="6791" w:type="dxa"/>
            <w:gridSpan w:val="3"/>
          </w:tcPr>
          <w:p w14:paraId="03D209E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BD34055" w14:textId="728FA98C" w:rsidR="005C219A" w:rsidRPr="00C50B27" w:rsidRDefault="004D4FF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257CD0D" w14:textId="0C68502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62533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1E9F7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D7C30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621C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7816F6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CFFAC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A8D8D7E" w14:textId="77777777" w:rsidTr="00C50B27">
        <w:tc>
          <w:tcPr>
            <w:tcW w:w="6791" w:type="dxa"/>
            <w:gridSpan w:val="3"/>
          </w:tcPr>
          <w:p w14:paraId="0B9C423A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4A5633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DB2A8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FACA0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24E0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D4FBD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CF80C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0BEF172" w14:textId="77777777" w:rsidTr="00C50B27">
        <w:tc>
          <w:tcPr>
            <w:tcW w:w="6791" w:type="dxa"/>
            <w:gridSpan w:val="3"/>
          </w:tcPr>
          <w:p w14:paraId="237A043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AFFE1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5896E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583E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6B7AD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53EA4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4EDE9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0125D1F" w14:textId="77777777" w:rsidTr="00C50B27">
        <w:tc>
          <w:tcPr>
            <w:tcW w:w="6791" w:type="dxa"/>
            <w:gridSpan w:val="3"/>
          </w:tcPr>
          <w:p w14:paraId="4841760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25A060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A5C3FC" w14:textId="77777777" w:rsidR="0055255D" w:rsidRPr="00C50B27" w:rsidRDefault="00B61A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C5C700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43132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4207F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37ADC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F0FD6C4" w14:textId="77777777" w:rsidTr="00C50B27">
        <w:tc>
          <w:tcPr>
            <w:tcW w:w="6791" w:type="dxa"/>
            <w:gridSpan w:val="3"/>
          </w:tcPr>
          <w:p w14:paraId="4B8B401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8264CF5" w14:textId="504B21BC" w:rsidR="0055255D" w:rsidRPr="00C50B27" w:rsidRDefault="004D4FF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6318FD" w14:textId="3F879AD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C26E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129D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2ED61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D7E2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B26260" w14:textId="77777777" w:rsidTr="00B411DB">
        <w:tc>
          <w:tcPr>
            <w:tcW w:w="9828" w:type="dxa"/>
            <w:gridSpan w:val="9"/>
            <w:shd w:val="clear" w:color="auto" w:fill="A6A6A6"/>
          </w:tcPr>
          <w:p w14:paraId="7DAF007B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6E2320F2" w14:textId="77777777" w:rsidTr="00C50B27">
        <w:tc>
          <w:tcPr>
            <w:tcW w:w="6791" w:type="dxa"/>
            <w:gridSpan w:val="3"/>
          </w:tcPr>
          <w:p w14:paraId="7F74C1B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D39205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39B6C2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91AC6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B8FABC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BDF29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1184D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922C74" w14:textId="77777777" w:rsidTr="00C50B27">
        <w:tc>
          <w:tcPr>
            <w:tcW w:w="6791" w:type="dxa"/>
            <w:gridSpan w:val="3"/>
          </w:tcPr>
          <w:p w14:paraId="54B3DE1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35D2E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E0970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0F79D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BC29FF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7EFB8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834F9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094B1FD" w14:textId="77777777" w:rsidTr="00C50B27">
        <w:tc>
          <w:tcPr>
            <w:tcW w:w="9828" w:type="dxa"/>
            <w:gridSpan w:val="9"/>
          </w:tcPr>
          <w:p w14:paraId="058A33E4" w14:textId="368F8D36" w:rsidR="00C07629" w:rsidRPr="0038172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E7694B1" w14:textId="4278040A" w:rsidR="00C07629" w:rsidRDefault="005574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</w:t>
            </w:r>
            <w:r w:rsidR="004D4FFA">
              <w:rPr>
                <w:sz w:val="22"/>
                <w:szCs w:val="22"/>
              </w:rPr>
              <w:t>problematikou rizikové hry a nahlíží na ni z perspektivy rodičů předškolních dětí</w:t>
            </w:r>
            <w:r>
              <w:rPr>
                <w:sz w:val="22"/>
                <w:szCs w:val="22"/>
              </w:rPr>
              <w:t xml:space="preserve">. </w:t>
            </w:r>
            <w:r w:rsidR="004D4FFA">
              <w:rPr>
                <w:sz w:val="22"/>
                <w:szCs w:val="22"/>
              </w:rPr>
              <w:t xml:space="preserve">Jedná se o velmi zdařilou práci, která shrnuje poznatky o rizikové hře a posouvá poznání v této oblasti. Teoretická část není pouhým výčtem základních poznatků, ale jde skutečně do hloubky problému. Propojuje aspekty rizikové hry s dalšími klíčovými faktory. Text je velmi čtivý, přitom neztrácí odbornou úroveň. Je zřejmé, že studentka se v problematice orientuje, využívá velké množství odborných zdrojů, přičemž převažují cizojazyčné, které jsou </w:t>
            </w:r>
            <w:r w:rsidR="00F2650B">
              <w:rPr>
                <w:sz w:val="22"/>
                <w:szCs w:val="22"/>
              </w:rPr>
              <w:t xml:space="preserve">vysoce </w:t>
            </w:r>
            <w:r w:rsidR="004D4FFA">
              <w:rPr>
                <w:sz w:val="22"/>
                <w:szCs w:val="22"/>
              </w:rPr>
              <w:t xml:space="preserve">relevantní. </w:t>
            </w:r>
            <w:r w:rsidR="00F2650B">
              <w:rPr>
                <w:sz w:val="22"/>
                <w:szCs w:val="22"/>
              </w:rPr>
              <w:t xml:space="preserve">Náročnost zpracování se projevuje nejen v teoretické části práci, ale i promyšlené metodologii výzkumu. Navržená metodika je precizní, oceňuji snahu o reprezentativní výběr a volbu výzkumného nástroje. Ten smysluplně využívá </w:t>
            </w:r>
            <w:r w:rsidR="00A54161">
              <w:rPr>
                <w:sz w:val="22"/>
                <w:szCs w:val="22"/>
              </w:rPr>
              <w:t>kombinaci</w:t>
            </w:r>
            <w:r w:rsidR="00F2650B">
              <w:rPr>
                <w:sz w:val="22"/>
                <w:szCs w:val="22"/>
              </w:rPr>
              <w:t xml:space="preserve"> zahraničních nástrojů, které přesně zapadají do koncepce výzkumu. Výběr výzkumného souboru mohl být popsán podrobněji (aby bylo zřejmé</w:t>
            </w:r>
            <w:r w:rsidR="00A54161">
              <w:rPr>
                <w:sz w:val="22"/>
                <w:szCs w:val="22"/>
              </w:rPr>
              <w:t xml:space="preserve">, </w:t>
            </w:r>
            <w:r w:rsidR="00F2650B">
              <w:rPr>
                <w:sz w:val="22"/>
                <w:szCs w:val="22"/>
              </w:rPr>
              <w:t xml:space="preserve">kolik krajů, okresů a mateřských škol </w:t>
            </w:r>
            <w:r w:rsidR="00A54161">
              <w:rPr>
                <w:sz w:val="22"/>
                <w:szCs w:val="22"/>
              </w:rPr>
              <w:t>bylo vybráno</w:t>
            </w:r>
            <w:r w:rsidR="00F2650B">
              <w:rPr>
                <w:sz w:val="22"/>
                <w:szCs w:val="22"/>
              </w:rPr>
              <w:t xml:space="preserve">). Vyhodnocení výsledků se drží jednotlivých položek a je adekvátně řazeno do </w:t>
            </w:r>
            <w:r w:rsidR="00A54161">
              <w:rPr>
                <w:sz w:val="22"/>
                <w:szCs w:val="22"/>
              </w:rPr>
              <w:t>dílčích</w:t>
            </w:r>
            <w:r w:rsidR="00F2650B">
              <w:rPr>
                <w:sz w:val="22"/>
                <w:szCs w:val="22"/>
              </w:rPr>
              <w:t xml:space="preserve"> oblastí. Doporučila bych zařadit také přehledovou tabulku, která porovnává výsledky z jednotlivých oblastí a případně výpočet celkového skóre (minimálně u oblasti zaměřující se na míru kontroly nebo míru dohledu a tolerance ze strany rodičů). Kapitola věnovaná interpretaci tuto mezeru vyplňuje a porovnává dílčí oblasti (a výpovědi) mezi sebou. Pozitivně hodnotím snahu o zpětnou konfrontaci s odbornou literaturou. </w:t>
            </w:r>
          </w:p>
          <w:p w14:paraId="2CB9190C" w14:textId="77777777" w:rsidR="00C07629" w:rsidRDefault="00F265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oceňuji vysokou úroveň/kvalitu zpracování. Je zřejmé, že práce vyžadovala velké množství času a úsilí. Je z ní patrný zájem studentky o danou problematiku. Studentka prokázala, že se v problematice orientuje a diplomovou práci zpracovala výborně. </w:t>
            </w:r>
          </w:p>
          <w:p w14:paraId="64237D8F" w14:textId="3C291926" w:rsidR="00F2650B" w:rsidRPr="00C50B27" w:rsidRDefault="00F2650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8ABD2BE" w14:textId="77777777" w:rsidTr="00C50B27">
        <w:tc>
          <w:tcPr>
            <w:tcW w:w="9828" w:type="dxa"/>
            <w:gridSpan w:val="9"/>
          </w:tcPr>
          <w:p w14:paraId="0E351BBB" w14:textId="0FB69A0E" w:rsidR="00C0762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2882684" w14:textId="42D9A1D4" w:rsidR="00C07629" w:rsidRDefault="00F2650B" w:rsidP="00C076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Přemýšlela jste o možnostech dalšího zpracování výsledků výzkumu? Nastiňte možnosti. </w:t>
            </w:r>
          </w:p>
          <w:p w14:paraId="4C3A6E71" w14:textId="77777777" w:rsidR="00C07629" w:rsidRPr="00C07629" w:rsidRDefault="00C07629" w:rsidP="00C07629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14:paraId="3007154D" w14:textId="77777777" w:rsidTr="00C50B27">
        <w:tc>
          <w:tcPr>
            <w:tcW w:w="6791" w:type="dxa"/>
            <w:gridSpan w:val="3"/>
          </w:tcPr>
          <w:p w14:paraId="72C0C03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79B5EFD" w14:textId="1241D464" w:rsidR="00B411DB" w:rsidRPr="00C50B27" w:rsidRDefault="00F265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4E97FBBB" w14:textId="322229B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7A11D6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AF11A6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E8DFD0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8304D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3A635A7" w14:textId="77777777" w:rsidTr="00C50B27">
        <w:tc>
          <w:tcPr>
            <w:tcW w:w="4068" w:type="dxa"/>
            <w:gridSpan w:val="2"/>
            <w:vAlign w:val="center"/>
          </w:tcPr>
          <w:p w14:paraId="1AC90111" w14:textId="2F24EC7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61AE8">
              <w:rPr>
                <w:sz w:val="22"/>
                <w:szCs w:val="22"/>
              </w:rPr>
              <w:t xml:space="preserve"> </w:t>
            </w:r>
            <w:r w:rsidR="00F2650B">
              <w:rPr>
                <w:sz w:val="22"/>
                <w:szCs w:val="22"/>
              </w:rPr>
              <w:t>3</w:t>
            </w:r>
            <w:r w:rsidR="00B61AE8">
              <w:rPr>
                <w:sz w:val="22"/>
                <w:szCs w:val="22"/>
              </w:rPr>
              <w:t>. 5. 2024</w:t>
            </w:r>
          </w:p>
        </w:tc>
        <w:tc>
          <w:tcPr>
            <w:tcW w:w="5760" w:type="dxa"/>
            <w:gridSpan w:val="7"/>
            <w:vAlign w:val="center"/>
          </w:tcPr>
          <w:p w14:paraId="2C3AB7B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61AE8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7A65298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B8D23" w14:textId="77777777" w:rsidR="0025038C" w:rsidRDefault="0025038C">
      <w:r>
        <w:separator/>
      </w:r>
    </w:p>
  </w:endnote>
  <w:endnote w:type="continuationSeparator" w:id="0">
    <w:p w14:paraId="51347299" w14:textId="77777777" w:rsidR="0025038C" w:rsidRDefault="0025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B84EA" w14:textId="77777777" w:rsidR="0025038C" w:rsidRDefault="0025038C">
      <w:r>
        <w:separator/>
      </w:r>
    </w:p>
  </w:footnote>
  <w:footnote w:type="continuationSeparator" w:id="0">
    <w:p w14:paraId="427D8875" w14:textId="77777777" w:rsidR="0025038C" w:rsidRDefault="0025038C">
      <w:r>
        <w:continuationSeparator/>
      </w:r>
    </w:p>
  </w:footnote>
  <w:footnote w:id="1">
    <w:p w14:paraId="72F991EE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4566F"/>
    <w:multiLevelType w:val="hybridMultilevel"/>
    <w:tmpl w:val="4AE0D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EB"/>
    <w:rsid w:val="000A4F68"/>
    <w:rsid w:val="0025038C"/>
    <w:rsid w:val="00362AB0"/>
    <w:rsid w:val="00381720"/>
    <w:rsid w:val="003F5DA2"/>
    <w:rsid w:val="004D4FFA"/>
    <w:rsid w:val="00512982"/>
    <w:rsid w:val="00526D47"/>
    <w:rsid w:val="0052716E"/>
    <w:rsid w:val="0055255D"/>
    <w:rsid w:val="005574C2"/>
    <w:rsid w:val="005C219A"/>
    <w:rsid w:val="00666209"/>
    <w:rsid w:val="006847E2"/>
    <w:rsid w:val="00704B45"/>
    <w:rsid w:val="00857A7A"/>
    <w:rsid w:val="008614B3"/>
    <w:rsid w:val="009B2248"/>
    <w:rsid w:val="00A54161"/>
    <w:rsid w:val="00AC2B57"/>
    <w:rsid w:val="00AF1740"/>
    <w:rsid w:val="00B02A88"/>
    <w:rsid w:val="00B411DB"/>
    <w:rsid w:val="00B61AE8"/>
    <w:rsid w:val="00BA3203"/>
    <w:rsid w:val="00C07629"/>
    <w:rsid w:val="00C50B27"/>
    <w:rsid w:val="00CE0A8B"/>
    <w:rsid w:val="00CE4377"/>
    <w:rsid w:val="00D010EB"/>
    <w:rsid w:val="00D264A3"/>
    <w:rsid w:val="00DC1BF5"/>
    <w:rsid w:val="00E67C85"/>
    <w:rsid w:val="00E709EA"/>
    <w:rsid w:val="00F1326B"/>
    <w:rsid w:val="00F2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7FE3F"/>
  <w15:chartTrackingRefBased/>
  <w15:docId w15:val="{5DD31D00-97BD-44C3-8D93-A73EBC1E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1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0</TotalTime>
  <Pages>2</Pages>
  <Words>419</Words>
  <Characters>2707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Petra Cejnarová</cp:lastModifiedBy>
  <cp:revision>2</cp:revision>
  <cp:lastPrinted>2012-04-25T08:21:00Z</cp:lastPrinted>
  <dcterms:created xsi:type="dcterms:W3CDTF">2024-05-03T13:48:00Z</dcterms:created>
  <dcterms:modified xsi:type="dcterms:W3CDTF">2024-05-03T13:48:00Z</dcterms:modified>
</cp:coreProperties>
</file>