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1E5EE04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693A20">
        <w:rPr>
          <w:rFonts w:asciiTheme="minorHAnsi" w:hAnsiTheme="minorHAnsi" w:cstheme="minorHAnsi"/>
          <w:sz w:val="22"/>
          <w:szCs w:val="22"/>
        </w:rPr>
        <w:t>Mgr. Šárka Kunzová</w:t>
      </w:r>
    </w:p>
    <w:p w14:paraId="00D6BB86" w14:textId="120C78F7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693A20">
        <w:rPr>
          <w:rFonts w:asciiTheme="minorHAnsi" w:hAnsiTheme="minorHAnsi" w:cstheme="minorHAnsi"/>
          <w:sz w:val="22"/>
          <w:szCs w:val="22"/>
        </w:rPr>
        <w:t>Ing. Monika Horáková, Ph.D.</w:t>
      </w:r>
    </w:p>
    <w:p w14:paraId="09E4DE65" w14:textId="425E044F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693A20">
        <w:rPr>
          <w:rFonts w:cstheme="minorHAnsi"/>
        </w:rPr>
        <w:t>Marketingová strategie pro vybranou oční optiku</w:t>
      </w:r>
    </w:p>
    <w:p w14:paraId="35028D0F" w14:textId="7BC4FEA1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showingPlcHdr/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DC7D52" w:rsidRPr="00DC7D52">
            <w:rPr>
              <w:rStyle w:val="Zstupntext"/>
              <w:rFonts w:asciiTheme="minorHAnsi" w:hAnsiTheme="minorHAnsi" w:cstheme="minorHAnsi"/>
            </w:rPr>
            <w:t>Zvolte položku.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693A20">
        <w:rPr>
          <w:rFonts w:cstheme="minorHAnsi"/>
          <w:i/>
          <w:sz w:val="20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D2CBD3F" w:rsidR="000E094A" w:rsidRDefault="00693A2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05E6B5AA" w14:textId="55BA9428" w:rsidR="000E094A" w:rsidRPr="000E094A" w:rsidRDefault="00693A2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 cíl pro návrh nové strategie pro oční optiku je zcela jasně deklarován ve všech částech DP. Dílčí cíle projektu jsou ovšem odlišně definovány v úvodu a v kapitole Cíle a metody zpracování práce (pozn. v názvu kapitoly má být metody a nikoliv metodika). Je vhodné u obhajoby definovat cíle projektu vzhledem k rozdílným krokům pro stanovení těchto cílů (zvýšení povědomí/rozšířit klientskou základnu/zvýšit ziskovost/budovat značku)?</w:t>
            </w:r>
            <w:r w:rsidR="00C966FE">
              <w:rPr>
                <w:rFonts w:cstheme="minorHAnsi"/>
              </w:rPr>
              <w:t xml:space="preserve"> </w:t>
            </w:r>
            <w:r w:rsidR="00D86E71">
              <w:rPr>
                <w:rFonts w:cstheme="minorHAnsi"/>
              </w:rPr>
              <w:t>Mám poznámku ke zpracovaným zásadám</w:t>
            </w:r>
            <w:r w:rsidR="00C966FE">
              <w:rPr>
                <w:rFonts w:cstheme="minorHAnsi"/>
              </w:rPr>
              <w:t xml:space="preserve">, kdy v posledním kroku zadání </w:t>
            </w:r>
            <w:r w:rsidR="00D86E71">
              <w:rPr>
                <w:rFonts w:cstheme="minorHAnsi"/>
              </w:rPr>
              <w:t>chybí riziková analýza, v abstraktu je využita, v kapitole „Cíle a metody…“ není</w:t>
            </w:r>
            <w:r w:rsidR="00B05338">
              <w:rPr>
                <w:rFonts w:cstheme="minorHAnsi"/>
              </w:rPr>
              <w:t>,</w:t>
            </w:r>
            <w:r w:rsidR="00D86E71">
              <w:rPr>
                <w:rFonts w:cstheme="minorHAnsi"/>
              </w:rPr>
              <w:t xml:space="preserve"> a v praktické části je uvedena. Tento postup by měl být jednotný. Dále v zásadách by měla být literatura seřazena dle abecedy.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2ECE37F" w:rsidR="000E094A" w:rsidRDefault="00693A2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55E0784C" w:rsidR="000E094A" w:rsidRPr="000E094A" w:rsidRDefault="00693A2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Studentka se při zpracování literární rešerše věnovala základním pojmům marketingu a marketingové strategie z pohledu jednotlivých analýz. Rešerše je podložena dostatečným množstvím domácích i zahraničních zdrojů. Zpracovala si věrohodný podklad pro tvorbu praktické části.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80D5290" w:rsidR="000E094A" w:rsidRDefault="008D0E6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03103B0" w14:textId="2C7C4469" w:rsidR="000E094A" w:rsidRPr="000E094A" w:rsidRDefault="005050B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</w:t>
            </w:r>
            <w:r w:rsidR="00E9409D">
              <w:rPr>
                <w:rFonts w:cstheme="minorHAnsi"/>
              </w:rPr>
              <w:t xml:space="preserve">ýza současného stavu zahrnuje analýzy vnějšího i vnitřního prostředí. U sociálně-kulturních faktorů je vhodné podrobněji rozebírat aktuální počet obyvatel města </w:t>
            </w:r>
            <w:proofErr w:type="gramStart"/>
            <w:r w:rsidR="00E9409D">
              <w:rPr>
                <w:rFonts w:cstheme="minorHAnsi"/>
              </w:rPr>
              <w:t>Holešova</w:t>
            </w:r>
            <w:proofErr w:type="gramEnd"/>
            <w:r w:rsidR="00E9409D">
              <w:rPr>
                <w:rFonts w:cstheme="minorHAnsi"/>
              </w:rPr>
              <w:t xml:space="preserve"> a nikoliv ke dni 31.12.2018. Právě demografická struktura je základem pro jedno z důležitých kritérií pro tvorbu strategie. Studentka uvádí v</w:t>
            </w:r>
            <w:r w:rsidR="008D0E67">
              <w:rPr>
                <w:rFonts w:cstheme="minorHAnsi"/>
              </w:rPr>
              <w:t> </w:t>
            </w:r>
            <w:r w:rsidR="00E9409D">
              <w:rPr>
                <w:rFonts w:cstheme="minorHAnsi"/>
              </w:rPr>
              <w:t>práci</w:t>
            </w:r>
            <w:r w:rsidR="008D0E67">
              <w:rPr>
                <w:rFonts w:cstheme="minorHAnsi"/>
              </w:rPr>
              <w:t xml:space="preserve"> důležitost obou dvou věkových kategorií tzn. děti do 15 let a lidé 65+, zatímco dále pracuje se strategií zaměřenou na produktivní skupinu 19-65 let. Uvádět graf na obr. 6 rozdělení populace dle dosaženého vzdělání nemá logickou provázanost s prací, zde bych uvítala rozdělení právě dle věkové kategorie, které opodstatnění má. </w:t>
            </w:r>
            <w:proofErr w:type="spellStart"/>
            <w:r w:rsidR="008D0E67">
              <w:rPr>
                <w:rFonts w:cstheme="minorHAnsi"/>
              </w:rPr>
              <w:t>Porterova</w:t>
            </w:r>
            <w:proofErr w:type="spellEnd"/>
            <w:r w:rsidR="008D0E67">
              <w:rPr>
                <w:rFonts w:cstheme="minorHAnsi"/>
              </w:rPr>
              <w:t xml:space="preserve"> analýza 5 sil je zpracována na dobré úrovni, důležité je zde uvést</w:t>
            </w:r>
            <w:r w:rsidR="00742FA0">
              <w:rPr>
                <w:rFonts w:cstheme="minorHAnsi"/>
              </w:rPr>
              <w:t>,</w:t>
            </w:r>
            <w:r w:rsidR="008D0E67">
              <w:rPr>
                <w:rFonts w:cstheme="minorHAnsi"/>
              </w:rPr>
              <w:t xml:space="preserve"> na </w:t>
            </w:r>
            <w:proofErr w:type="gramStart"/>
            <w:r w:rsidR="008D0E67">
              <w:rPr>
                <w:rFonts w:cstheme="minorHAnsi"/>
              </w:rPr>
              <w:t>základě</w:t>
            </w:r>
            <w:proofErr w:type="gramEnd"/>
            <w:r w:rsidR="008D0E67">
              <w:rPr>
                <w:rFonts w:cstheme="minorHAnsi"/>
              </w:rPr>
              <w:t xml:space="preserve"> čeho a kdo stanovoval kritéria konkurenceschopnosti. Otázka je, zda rozdílný počet hodnocených kritérií u 5 měřených sil nemá významný dopad na celkový výsledek jednotlivých si a tím také na celkový výsledky této analýzy. U analýzy vnitřního prostředí bylo vhodné uvést u produktu, jaké je % zastoupení jednotlivých nabízených artiklů, uvést otevírací dobu kamenné prodejny (nikoliv až v projektové části). U místa mohla studenta přiložit fotodokumentaci z místa prodeje.</w:t>
            </w:r>
            <w:r w:rsidR="00742FA0">
              <w:rPr>
                <w:rFonts w:cstheme="minorHAnsi"/>
              </w:rPr>
              <w:t xml:space="preserve"> Velkou výhradu u předložené DP mám k dotazníkovému šetření. Online dotazování je mimo věkovou skupinu do 15 let a 65+. </w:t>
            </w:r>
            <w:r w:rsidR="0049401D">
              <w:rPr>
                <w:rFonts w:cstheme="minorHAnsi"/>
              </w:rPr>
              <w:t xml:space="preserve">Přiznám se, že </w:t>
            </w:r>
            <w:r w:rsidR="0049401D">
              <w:rPr>
                <w:rFonts w:cstheme="minorHAnsi"/>
              </w:rPr>
              <w:lastRenderedPageBreak/>
              <w:t xml:space="preserve">postrádám logickou propojenost mezi stanovením věkových kategorií </w:t>
            </w:r>
            <w:proofErr w:type="gramStart"/>
            <w:r w:rsidR="0049401D">
              <w:rPr>
                <w:rFonts w:cstheme="minorHAnsi"/>
              </w:rPr>
              <w:t>19 – 30</w:t>
            </w:r>
            <w:proofErr w:type="gramEnd"/>
            <w:r w:rsidR="0049401D">
              <w:rPr>
                <w:rFonts w:cstheme="minorHAnsi"/>
              </w:rPr>
              <w:t xml:space="preserve"> let, 66 let a více. Základní věkové kategorie jsou již v dříve uvedených statistikách ČSÚ rozděleny jinak (do 15 let, </w:t>
            </w:r>
            <w:proofErr w:type="gramStart"/>
            <w:r w:rsidR="0049401D">
              <w:rPr>
                <w:rFonts w:cstheme="minorHAnsi"/>
              </w:rPr>
              <w:t>15 – 64</w:t>
            </w:r>
            <w:proofErr w:type="gramEnd"/>
            <w:r w:rsidR="0049401D">
              <w:rPr>
                <w:rFonts w:cstheme="minorHAnsi"/>
              </w:rPr>
              <w:t xml:space="preserve"> let, 65 +) a nelze to subjektivně posouvat. </w:t>
            </w:r>
            <w:r w:rsidR="00742FA0">
              <w:rPr>
                <w:rFonts w:cstheme="minorHAnsi"/>
              </w:rPr>
              <w:t xml:space="preserve">Hodnocení všech 122 odpovědí je poměrně zavádějící, když pouze 85 nosí brýle/čočky a využívá služby oční optiky. Otázky 2,3,4 v duchu, i když brýle nenosíte, jak byste se rozhodovala nejsou relevantní. Spotřebitel je ten člověk, který produkt užívá a nejde si v některých situacích jen představovat, dle čeho byste se rozhodovala, jestliže výrobek neužíváte a nepotřebujete. </w:t>
            </w:r>
            <w:r w:rsidR="00780E8E">
              <w:rPr>
                <w:rFonts w:cstheme="minorHAnsi"/>
              </w:rPr>
              <w:t>Dále z identifikačních kritérií nelze poznat, zda respondenti nakupují brýle</w:t>
            </w:r>
            <w:r w:rsidR="00727CDC">
              <w:rPr>
                <w:rFonts w:cstheme="minorHAnsi"/>
              </w:rPr>
              <w:t>/čočky</w:t>
            </w:r>
            <w:r w:rsidR="00780E8E">
              <w:rPr>
                <w:rFonts w:cstheme="minorHAnsi"/>
              </w:rPr>
              <w:t xml:space="preserve"> pro sebe nebo např. pro děti.</w:t>
            </w:r>
            <w:r w:rsidR="0005625E">
              <w:rPr>
                <w:rFonts w:cstheme="minorHAnsi"/>
              </w:rPr>
              <w:t xml:space="preserve"> V projektu studentka navrhuje i zacílení pro dětskou klientelu</w:t>
            </w:r>
            <w:r w:rsidR="006F7CFA">
              <w:rPr>
                <w:rFonts w:cstheme="minorHAnsi"/>
              </w:rPr>
              <w:t xml:space="preserve"> (akce „Hurá do školy“)</w:t>
            </w:r>
            <w:r w:rsidR="00727CDC">
              <w:rPr>
                <w:rFonts w:cstheme="minorHAnsi"/>
              </w:rPr>
              <w:t>, což je mimo stanovené cílové skupiny 19-30 let, 31-45 let a střelci</w:t>
            </w:r>
            <w:r w:rsidR="0005625E">
              <w:rPr>
                <w:rFonts w:cstheme="minorHAnsi"/>
              </w:rPr>
              <w:t>.</w:t>
            </w:r>
            <w:r w:rsidR="00655E72">
              <w:rPr>
                <w:rFonts w:cstheme="minorHAnsi"/>
              </w:rPr>
              <w:t xml:space="preserve"> Plošně zaměřený dotazník postrádá odpovědi osob 65+, je otázkou, zda od této věkové kategorie nejsou odpovědi žádány.</w:t>
            </w:r>
            <w:r w:rsidR="00780E8E">
              <w:rPr>
                <w:rFonts w:cstheme="minorHAnsi"/>
              </w:rPr>
              <w:t xml:space="preserve"> </w:t>
            </w:r>
            <w:r w:rsidR="00742FA0">
              <w:rPr>
                <w:rFonts w:cstheme="minorHAnsi"/>
              </w:rPr>
              <w:t xml:space="preserve">Pro identifikaci potřeb a preferencí si studentka stanovila 6 kritérií, působí to velmi subjektivně vzhledem k tomu, že na obr. 11 </w:t>
            </w:r>
            <w:r w:rsidR="00655E72">
              <w:rPr>
                <w:rFonts w:cstheme="minorHAnsi"/>
              </w:rPr>
              <w:t>jsou</w:t>
            </w:r>
            <w:bookmarkStart w:id="1" w:name="_GoBack"/>
            <w:bookmarkEnd w:id="1"/>
            <w:r w:rsidR="00742FA0">
              <w:rPr>
                <w:rFonts w:cstheme="minorHAnsi"/>
              </w:rPr>
              <w:t xml:space="preserve"> uvedeny </w:t>
            </w:r>
            <w:r w:rsidR="00780E8E">
              <w:rPr>
                <w:rFonts w:cstheme="minorHAnsi"/>
              </w:rPr>
              <w:t>důvody nespokojenosti a tyto důvody vidí lidé jako ty klíčové (např. otevírací doba)</w:t>
            </w:r>
            <w:r w:rsidR="0005625E">
              <w:rPr>
                <w:rFonts w:cstheme="minorHAnsi"/>
              </w:rPr>
              <w:t>. Pro rozšíření stávající klientely bylo vhodné v</w:t>
            </w:r>
            <w:r w:rsidR="00655E72">
              <w:rPr>
                <w:rFonts w:cstheme="minorHAnsi"/>
              </w:rPr>
              <w:t> </w:t>
            </w:r>
            <w:r w:rsidR="0005625E">
              <w:rPr>
                <w:rFonts w:cstheme="minorHAnsi"/>
              </w:rPr>
              <w:t>dotazníku</w:t>
            </w:r>
            <w:r w:rsidR="00655E72">
              <w:rPr>
                <w:rFonts w:cstheme="minorHAnsi"/>
              </w:rPr>
              <w:t xml:space="preserve"> přímo zjistit, zda prodejnu jen navštívili nebo realizovali nákup.</w:t>
            </w:r>
          </w:p>
        </w:tc>
      </w:tr>
    </w:tbl>
    <w:p w14:paraId="530A7CCA" w14:textId="77777777" w:rsidR="0073639B" w:rsidRDefault="0073639B">
      <w:r>
        <w:lastRenderedPageBreak/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7D6B16B" w:rsidR="000E094A" w:rsidRDefault="00625D4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1FDDD83C" w14:textId="6CBBA78A" w:rsidR="00727CDC" w:rsidRPr="000E094A" w:rsidRDefault="0005625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Návrhová část vychází z provedených analýz zacílených na věkové skupiny </w:t>
            </w:r>
            <w:proofErr w:type="gramStart"/>
            <w:r>
              <w:rPr>
                <w:rFonts w:cstheme="minorHAnsi"/>
              </w:rPr>
              <w:t>19 – 30</w:t>
            </w:r>
            <w:proofErr w:type="gramEnd"/>
            <w:r>
              <w:rPr>
                <w:rFonts w:cstheme="minorHAnsi"/>
              </w:rPr>
              <w:t xml:space="preserve"> let, 31 – 45 let a střelci. </w:t>
            </w:r>
            <w:r w:rsidR="00727CDC">
              <w:rPr>
                <w:rFonts w:cstheme="minorHAnsi"/>
              </w:rPr>
              <w:t xml:space="preserve">Jednotlivé kroky projektové části jsou </w:t>
            </w:r>
            <w:r w:rsidR="00625D47">
              <w:rPr>
                <w:rFonts w:cstheme="minorHAnsi"/>
              </w:rPr>
              <w:t>systematické a podrobně popsány</w:t>
            </w:r>
            <w:r w:rsidR="00727CDC">
              <w:rPr>
                <w:rFonts w:cstheme="minorHAnsi"/>
              </w:rPr>
              <w:t xml:space="preserve">. </w:t>
            </w:r>
            <w:r w:rsidR="00625D47">
              <w:rPr>
                <w:rFonts w:cstheme="minorHAnsi"/>
              </w:rPr>
              <w:t xml:space="preserve">Cíle projektové části jsou stanoveny a rozepsány na základě konceptu SMART. </w:t>
            </w:r>
            <w:r w:rsidR="00727CDC">
              <w:rPr>
                <w:rFonts w:cstheme="minorHAnsi"/>
              </w:rPr>
              <w:t>Navržená marketingová strategie v projektové části působí plošným dojmem na všechny cílové skupiny nikoliv na 3 vytyčené. Nákladová analýza je podložena reálnými daty a poskytuje také přehled o oportunitních nákladech. To je velmi přínosné i pro celkové hodnocení finanční náročnosti. Přesto pokud se jedná o finanční návratnost je důležité si uvědomit, zda tyto náklady vstupují do finančních ukazatelů. Při analýze rizik je také vhodné doplnit</w:t>
            </w:r>
            <w:r w:rsidR="00625D47">
              <w:rPr>
                <w:rFonts w:cstheme="minorHAnsi"/>
              </w:rPr>
              <w:t xml:space="preserve">, kdo stanovoval kritéria a kdo určoval dopad. </w:t>
            </w:r>
          </w:p>
          <w:p w14:paraId="08191F52" w14:textId="77777777" w:rsidR="000E094A" w:rsidRPr="000E094A" w:rsidRDefault="000E094A" w:rsidP="00625D4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AA9F7D3" w:rsidR="000E094A" w:rsidRDefault="005050B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7AABEF3B" w14:textId="21EBBFED" w:rsidR="000E094A" w:rsidRDefault="00D86E7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DP je na poměrně dobré jazykové úrovni. Studentka využívá odborné zdravotnické i marketingové terminologie a práce působí jako kvalitně jazykově zpracována. Přesto i v této práci najdeme malé množství gramatických chyb (nárůst místo </w:t>
            </w:r>
            <w:proofErr w:type="spellStart"/>
            <w:r>
              <w:rPr>
                <w:rFonts w:cstheme="minorHAnsi"/>
              </w:rPr>
              <w:t>narust</w:t>
            </w:r>
            <w:proofErr w:type="spellEnd"/>
            <w:r>
              <w:rPr>
                <w:rFonts w:cstheme="minorHAnsi"/>
              </w:rPr>
              <w:t>, občas záměna „a“ a „y“ ve středním rodě, chybějící interpunkce). Pozor na záměnu popisů tabulek od č. 10 – č. 16 vždy nahoře.</w:t>
            </w:r>
            <w:r w:rsidR="00920B07">
              <w:rPr>
                <w:rFonts w:cstheme="minorHAnsi"/>
              </w:rPr>
              <w:t xml:space="preserve"> Obr. 8 a 13 jsou identické a nemusí je studentka uvádět 2x. Občas chybí odkazy na grafy v textu Obr. 6 a Obr. 11. </w:t>
            </w:r>
          </w:p>
          <w:p w14:paraId="1CBFD397" w14:textId="77777777" w:rsidR="000E094A" w:rsidRPr="000E094A" w:rsidRDefault="000E094A" w:rsidP="00920B0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38A60A6" w:rsidR="009C7318" w:rsidRDefault="00625D4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1BB6FAD9" w:rsidR="00D6308A" w:rsidRPr="000E094A" w:rsidRDefault="00920B07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  <w:r>
              <w:rPr>
                <w:rFonts w:cstheme="minorHAnsi"/>
              </w:rPr>
              <w:t>DP splňuje předepsaná kritéria</w:t>
            </w:r>
            <w:r w:rsidR="00C504B3">
              <w:rPr>
                <w:rFonts w:cstheme="minorHAnsi"/>
              </w:rPr>
              <w:t xml:space="preserve"> s návrhem marketingové strategie pro danou oční optiku.</w:t>
            </w:r>
            <w:r>
              <w:rPr>
                <w:rFonts w:cstheme="minorHAnsi"/>
              </w:rPr>
              <w:t xml:space="preserve"> </w:t>
            </w:r>
            <w:r w:rsidR="00C504B3">
              <w:rPr>
                <w:rFonts w:cstheme="minorHAnsi"/>
              </w:rPr>
              <w:t xml:space="preserve">V souhrnu mám malé </w:t>
            </w:r>
            <w:r>
              <w:rPr>
                <w:rFonts w:cstheme="minorHAnsi"/>
              </w:rPr>
              <w:t>výhrad</w:t>
            </w:r>
            <w:r w:rsidR="00C504B3">
              <w:rPr>
                <w:rFonts w:cstheme="minorHAnsi"/>
              </w:rPr>
              <w:t xml:space="preserve">y k návrhu </w:t>
            </w:r>
            <w:r w:rsidR="00BE09F3">
              <w:rPr>
                <w:rFonts w:cstheme="minorHAnsi"/>
              </w:rPr>
              <w:t xml:space="preserve">strategie </w:t>
            </w:r>
            <w:r w:rsidR="00C504B3">
              <w:rPr>
                <w:rFonts w:cstheme="minorHAnsi"/>
              </w:rPr>
              <w:t>dle jednotlivých</w:t>
            </w:r>
            <w:r w:rsidR="00BE09F3">
              <w:rPr>
                <w:rFonts w:cstheme="minorHAnsi"/>
              </w:rPr>
              <w:t xml:space="preserve"> vydefinovaných cílových</w:t>
            </w:r>
            <w:r w:rsidR="005050BE">
              <w:rPr>
                <w:rFonts w:cstheme="minorHAnsi"/>
              </w:rPr>
              <w:t xml:space="preserve"> skupin a ke zpracování dotazníkového šetření.</w:t>
            </w:r>
            <w:r>
              <w:rPr>
                <w:rFonts w:cstheme="minorHAnsi"/>
              </w:rPr>
              <w:t xml:space="preserve"> </w:t>
            </w:r>
            <w:r w:rsidR="005050BE">
              <w:rPr>
                <w:rFonts w:cstheme="minorHAnsi"/>
              </w:rPr>
              <w:t>I přes mé výtky hodnotím práci jako zdařilou a doporučuji</w:t>
            </w:r>
            <w:r>
              <w:rPr>
                <w:rFonts w:cstheme="minorHAnsi"/>
              </w:rPr>
              <w:t xml:space="preserve"> ji k obhajobě.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2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1DA644AD" w:rsidR="009C7318" w:rsidRDefault="00920B0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</w:t>
      </w:r>
      <w:r w:rsidR="00BE09F3">
        <w:rPr>
          <w:rFonts w:cstheme="minorHAnsi"/>
        </w:rPr>
        <w:t xml:space="preserve"> se </w:t>
      </w:r>
      <w:r>
        <w:rPr>
          <w:rFonts w:cstheme="minorHAnsi"/>
        </w:rPr>
        <w:t xml:space="preserve">konkrétní kroky marketingové strategie </w:t>
      </w:r>
      <w:r w:rsidR="00BE09F3">
        <w:rPr>
          <w:rFonts w:cstheme="minorHAnsi"/>
        </w:rPr>
        <w:t>liší pro Vámi vytyčené</w:t>
      </w:r>
      <w:r>
        <w:rPr>
          <w:rFonts w:cstheme="minorHAnsi"/>
        </w:rPr>
        <w:t xml:space="preserve"> 3 cílové skupiny?</w:t>
      </w:r>
    </w:p>
    <w:p w14:paraId="55DA52BC" w14:textId="0AB985DC" w:rsidR="005C4ACA" w:rsidRDefault="00780E8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S kolika zdravotními pojišťovnami spolupracuje oční optika a může to být relevantní faktor pro výběr optiky spotřebitelem?</w:t>
      </w:r>
    </w:p>
    <w:p w14:paraId="1991DEDB" w14:textId="0ADC42C7" w:rsidR="005C4ACA" w:rsidRP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E94708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504B3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504B3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FEE5AC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504B3">
            <w:rPr>
              <w:rFonts w:cstheme="minorHAnsi"/>
            </w:rPr>
            <w:t>20.05.2024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5625E"/>
    <w:rsid w:val="000C0458"/>
    <w:rsid w:val="000E094A"/>
    <w:rsid w:val="00144F5B"/>
    <w:rsid w:val="0024258E"/>
    <w:rsid w:val="0029651C"/>
    <w:rsid w:val="002C5ED6"/>
    <w:rsid w:val="0049401D"/>
    <w:rsid w:val="004D378C"/>
    <w:rsid w:val="005050BE"/>
    <w:rsid w:val="005C4ACA"/>
    <w:rsid w:val="00600AD5"/>
    <w:rsid w:val="00625D47"/>
    <w:rsid w:val="00655E72"/>
    <w:rsid w:val="0067082B"/>
    <w:rsid w:val="00693A20"/>
    <w:rsid w:val="00694399"/>
    <w:rsid w:val="006F7CFA"/>
    <w:rsid w:val="00727CDC"/>
    <w:rsid w:val="0073639B"/>
    <w:rsid w:val="00742FA0"/>
    <w:rsid w:val="007539AC"/>
    <w:rsid w:val="007553A6"/>
    <w:rsid w:val="00780E8E"/>
    <w:rsid w:val="007E17F3"/>
    <w:rsid w:val="0085398A"/>
    <w:rsid w:val="00881BA1"/>
    <w:rsid w:val="008B781B"/>
    <w:rsid w:val="008D0E67"/>
    <w:rsid w:val="008E2072"/>
    <w:rsid w:val="00920B07"/>
    <w:rsid w:val="00974EA2"/>
    <w:rsid w:val="00987B93"/>
    <w:rsid w:val="009C322A"/>
    <w:rsid w:val="009C7318"/>
    <w:rsid w:val="00A40E93"/>
    <w:rsid w:val="00A7527E"/>
    <w:rsid w:val="00B05338"/>
    <w:rsid w:val="00B14451"/>
    <w:rsid w:val="00BA16DD"/>
    <w:rsid w:val="00BE09F3"/>
    <w:rsid w:val="00C504B3"/>
    <w:rsid w:val="00C966FE"/>
    <w:rsid w:val="00CA34A9"/>
    <w:rsid w:val="00CD12C3"/>
    <w:rsid w:val="00D6308A"/>
    <w:rsid w:val="00D86E71"/>
    <w:rsid w:val="00DC7D52"/>
    <w:rsid w:val="00E22423"/>
    <w:rsid w:val="00E9409D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C87B2C4B9D5442B829954E455206E7" ma:contentTypeVersion="18" ma:contentTypeDescription="Vytvoří nový dokument" ma:contentTypeScope="" ma:versionID="b9578873db1809f4ca6d6b5bdcbab174">
  <xsd:schema xmlns:xsd="http://www.w3.org/2001/XMLSchema" xmlns:xs="http://www.w3.org/2001/XMLSchema" xmlns:p="http://schemas.microsoft.com/office/2006/metadata/properties" xmlns:ns3="b94305a1-3db8-4098-bcab-6032cbfec8e4" xmlns:ns4="db8c9aa5-cb4b-4e4e-a43f-4a9265a4c6c9" targetNamespace="http://schemas.microsoft.com/office/2006/metadata/properties" ma:root="true" ma:fieldsID="2cfeea0356c3b8e57d6c4a7a1f211efd" ns3:_="" ns4:_="">
    <xsd:import namespace="b94305a1-3db8-4098-bcab-6032cbfec8e4"/>
    <xsd:import namespace="db8c9aa5-cb4b-4e4e-a43f-4a9265a4c6c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305a1-3db8-4098-bcab-6032cbfec8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c9aa5-cb4b-4e4e-a43f-4a9265a4c6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8c9aa5-cb4b-4e4e-a43f-4a9265a4c6c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4754DC-62E5-4CF8-9287-53B0EC8AB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305a1-3db8-4098-bcab-6032cbfec8e4"/>
    <ds:schemaRef ds:uri="db8c9aa5-cb4b-4e4e-a43f-4a9265a4c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b94305a1-3db8-4098-bcab-6032cbfec8e4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db8c9aa5-cb4b-4e4e-a43f-4a9265a4c6c9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1111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Monika Horáková</cp:lastModifiedBy>
  <cp:revision>2</cp:revision>
  <cp:lastPrinted>2022-03-14T11:55:00Z</cp:lastPrinted>
  <dcterms:created xsi:type="dcterms:W3CDTF">2024-05-21T04:20:00Z</dcterms:created>
  <dcterms:modified xsi:type="dcterms:W3CDTF">2024-05-21T04:20:00Z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0x010100C6C87B2C4B9D5442B829954E455206E7</vt:lpwstr>
  </property>
</Properties>
</file>