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7C" w:rsidRDefault="00CE5A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E5A7C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CE5A7C">
        <w:tc>
          <w:tcPr>
            <w:tcW w:w="2808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Michaela Novosadová</w:t>
            </w:r>
          </w:p>
        </w:tc>
      </w:tr>
      <w:tr w:rsidR="00CE5A7C">
        <w:tc>
          <w:tcPr>
            <w:tcW w:w="2808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The</w:t>
            </w:r>
            <w:proofErr w:type="spellEnd"/>
            <w:r>
              <w:t xml:space="preserve"> UK </w:t>
            </w:r>
            <w:proofErr w:type="spellStart"/>
            <w:r>
              <w:t>Miners</w:t>
            </w:r>
            <w:proofErr w:type="spellEnd"/>
            <w:r>
              <w:t xml:space="preserve">' Strike </w:t>
            </w:r>
            <w:proofErr w:type="spellStart"/>
            <w:r>
              <w:t>of</w:t>
            </w:r>
            <w:proofErr w:type="spellEnd"/>
            <w:r>
              <w:t xml:space="preserve"> 1984 - 1985</w:t>
            </w:r>
          </w:p>
          <w:p w:rsidR="00CE5A7C" w:rsidRDefault="00CE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CE5A7C">
        <w:tc>
          <w:tcPr>
            <w:tcW w:w="2808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Ph.D.</w:t>
            </w:r>
          </w:p>
        </w:tc>
      </w:tr>
      <w:tr w:rsidR="00CE5A7C">
        <w:tc>
          <w:tcPr>
            <w:tcW w:w="2808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CE5A7C">
        <w:tc>
          <w:tcPr>
            <w:tcW w:w="2808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CE5A7C">
        <w:tc>
          <w:tcPr>
            <w:tcW w:w="2808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CE5A7C">
        <w:tc>
          <w:tcPr>
            <w:tcW w:w="9828" w:type="dxa"/>
            <w:gridSpan w:val="9"/>
            <w:shd w:val="clear" w:color="auto" w:fill="A6A6A6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9828" w:type="dxa"/>
            <w:gridSpan w:val="9"/>
            <w:shd w:val="clear" w:color="auto" w:fill="A6A6A6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9828" w:type="dxa"/>
            <w:gridSpan w:val="9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CE5A7C" w:rsidRDefault="00CE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Autorka ve své práci analyzuje události, které vedly k nejdelší hornické stávce vůbec v moderní britské historii. Krátce charakterizujte důležitost hornictví pro britskou ekonomiku a poté  zdařile mapuje vývoj hornických odborů a události, jež vedly k jeji</w:t>
            </w:r>
            <w:r>
              <w:t>ch bezprecedentně silné pozici v konfliktech s vládami. Prostor věnuje i konzervativní vládě Margaret Thatcher, jejíž opatření vedla horníky k vyhlášení stávky. Zajímavá je analýza samotných hornických odborů a také fakt, že ani tyto odbory nebyly vždy jed</w:t>
            </w:r>
            <w:r>
              <w:t xml:space="preserve">notné. </w:t>
            </w:r>
          </w:p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Uvítala bych častější </w:t>
            </w:r>
            <w:proofErr w:type="spellStart"/>
            <w:r>
              <w:t>dovysvětlení</w:t>
            </w:r>
            <w:proofErr w:type="spellEnd"/>
            <w:r>
              <w:t xml:space="preserve"> některých pojmů a situací, text by tak byl ucelenější a také větší dávku nestrannosti - některé slovní obraty jasně ukazují, že autoři použité studijní literatury byli na straně horníků. Také postrádám jasné shrnu</w:t>
            </w:r>
            <w:r>
              <w:t xml:space="preserve">tí toho, proč vlastně stávka skončila. Naopak vítám </w:t>
            </w:r>
            <w:proofErr w:type="spellStart"/>
            <w:r>
              <w:t>kaitolu</w:t>
            </w:r>
            <w:proofErr w:type="spellEnd"/>
            <w:r>
              <w:t xml:space="preserve"> 4, jejímž tématem je dopad stávky.</w:t>
            </w:r>
          </w:p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Práci doporučuji k obhajobě. </w:t>
            </w:r>
          </w:p>
          <w:p w:rsidR="00CE5A7C" w:rsidRDefault="00CE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5A7C">
        <w:tc>
          <w:tcPr>
            <w:tcW w:w="9828" w:type="dxa"/>
            <w:gridSpan w:val="9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CE5A7C" w:rsidRDefault="00853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D0D0D"/>
                <w:highlight w:val="white"/>
              </w:rPr>
              <w:t>How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did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British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trade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unions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historically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maintain</w:t>
            </w:r>
            <w:proofErr w:type="spellEnd"/>
            <w:r>
              <w:rPr>
                <w:color w:val="0D0D0D"/>
                <w:highlight w:val="white"/>
              </w:rPr>
              <w:t xml:space="preserve"> a </w:t>
            </w:r>
            <w:proofErr w:type="spellStart"/>
            <w:r>
              <w:rPr>
                <w:color w:val="0D0D0D"/>
                <w:highlight w:val="white"/>
              </w:rPr>
              <w:t>stronger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position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compared</w:t>
            </w:r>
            <w:proofErr w:type="spellEnd"/>
            <w:r>
              <w:rPr>
                <w:color w:val="0D0D0D"/>
                <w:highlight w:val="white"/>
              </w:rPr>
              <w:t xml:space="preserve"> to </w:t>
            </w:r>
            <w:proofErr w:type="spellStart"/>
            <w:r>
              <w:rPr>
                <w:color w:val="0D0D0D"/>
                <w:highlight w:val="white"/>
              </w:rPr>
              <w:t>counterparts</w:t>
            </w:r>
            <w:proofErr w:type="spellEnd"/>
            <w:r>
              <w:rPr>
                <w:color w:val="0D0D0D"/>
                <w:highlight w:val="white"/>
              </w:rPr>
              <w:t xml:space="preserve"> in </w:t>
            </w:r>
            <w:proofErr w:type="spellStart"/>
            <w:r>
              <w:rPr>
                <w:color w:val="0D0D0D"/>
                <w:highlight w:val="white"/>
              </w:rPr>
              <w:t>other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regio</w:t>
            </w:r>
            <w:r>
              <w:rPr>
                <w:color w:val="0D0D0D"/>
                <w:highlight w:val="white"/>
              </w:rPr>
              <w:t>ns</w:t>
            </w:r>
            <w:proofErr w:type="spellEnd"/>
            <w:r>
              <w:rPr>
                <w:color w:val="0D0D0D"/>
                <w:highlight w:val="white"/>
              </w:rPr>
              <w:t>?</w:t>
            </w:r>
          </w:p>
          <w:p w:rsidR="00CE5A7C" w:rsidRDefault="00853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D0D0D"/>
                <w:highlight w:val="white"/>
              </w:rPr>
              <w:t>How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would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you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describe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effects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of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closure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of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mining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pits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under</w:t>
            </w:r>
            <w:proofErr w:type="spellEnd"/>
            <w:r>
              <w:rPr>
                <w:color w:val="0D0D0D"/>
                <w:highlight w:val="white"/>
              </w:rPr>
              <w:t xml:space="preserve"> Margaret </w:t>
            </w:r>
            <w:proofErr w:type="spellStart"/>
            <w:r>
              <w:rPr>
                <w:color w:val="0D0D0D"/>
                <w:highlight w:val="white"/>
              </w:rPr>
              <w:t>Thatcher's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administration</w:t>
            </w:r>
            <w:proofErr w:type="spellEnd"/>
            <w:r>
              <w:rPr>
                <w:color w:val="0D0D0D"/>
                <w:highlight w:val="white"/>
              </w:rPr>
              <w:t>?</w:t>
            </w:r>
          </w:p>
          <w:p w:rsidR="00CE5A7C" w:rsidRDefault="00CE5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CE5A7C">
        <w:tc>
          <w:tcPr>
            <w:tcW w:w="9828" w:type="dxa"/>
            <w:gridSpan w:val="9"/>
          </w:tcPr>
          <w:p w:rsidR="00CE5A7C" w:rsidRDefault="00853F04">
            <w:pPr>
              <w:ind w:left="0" w:hanging="2"/>
              <w:jc w:val="both"/>
            </w:pPr>
            <w:r>
              <w:rPr>
                <w:b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</w:rPr>
              <w:t>Theses</w:t>
            </w:r>
            <w:proofErr w:type="spellEnd"/>
            <w:r>
              <w:rPr>
                <w:b/>
              </w:rPr>
              <w:t xml:space="preserve"> s výsledkem </w:t>
            </w:r>
            <w:r>
              <w:rPr>
                <w:b/>
                <w:highlight w:val="white"/>
              </w:rPr>
              <w:t>negativním/</w:t>
            </w:r>
            <w:r>
              <w:rPr>
                <w:b/>
                <w:strike/>
                <w:highlight w:val="white"/>
              </w:rPr>
              <w:t>pozitivním</w:t>
            </w:r>
            <w:r>
              <w:rPr>
                <w:b/>
              </w:rPr>
              <w:t>. *</w:t>
            </w:r>
          </w:p>
        </w:tc>
      </w:tr>
      <w:tr w:rsidR="00CE5A7C">
        <w:tc>
          <w:tcPr>
            <w:tcW w:w="6791" w:type="dxa"/>
            <w:gridSpan w:val="3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CE5A7C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27.05.2024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CE5A7C" w:rsidRDefault="00853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r>
              <w:t>Mgr. Helena Kaňková Ph.D.</w:t>
            </w:r>
            <w:r>
              <w:t xml:space="preserve"> v.r.</w:t>
            </w:r>
            <w:bookmarkStart w:id="0" w:name="_GoBack"/>
            <w:bookmarkEnd w:id="0"/>
          </w:p>
        </w:tc>
      </w:tr>
    </w:tbl>
    <w:p w:rsidR="00CE5A7C" w:rsidRDefault="00CE5A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E5A7C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3F04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853F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3F04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853F04">
      <w:pPr>
        <w:spacing w:line="240" w:lineRule="auto"/>
        <w:ind w:left="0" w:hanging="2"/>
      </w:pPr>
      <w:r>
        <w:continuationSeparator/>
      </w:r>
    </w:p>
  </w:footnote>
  <w:footnote w:id="1">
    <w:p w:rsidR="00CE5A7C" w:rsidRDefault="00853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CE5A7C" w:rsidRDefault="00853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B4D21"/>
    <w:multiLevelType w:val="multilevel"/>
    <w:tmpl w:val="751AF3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7C"/>
    <w:rsid w:val="00853F04"/>
    <w:rsid w:val="00C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0207"/>
  <w15:docId w15:val="{C657FD13-CFF8-47A6-BDFA-F5EB5472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nBHDM12AmwUlrzsbf8pwTdoEg==">CgMxLjA4AHIhMUxnZ1g3VEJIZmRFc3kyRlJVZ0ZmR2QydUN4S1dETi1a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1840</Characters>
  <Application>Microsoft Office Word</Application>
  <DocSecurity>4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2024-05-27T12:32:00Z</dcterms:created>
  <dcterms:modified xsi:type="dcterms:W3CDTF">2024-05-27T12:32:00Z</dcterms:modified>
</cp:coreProperties>
</file>