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FA1633C" w:rsidR="00515A76" w:rsidRPr="0013588D" w:rsidRDefault="004C42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2761B2">
              <w:rPr>
                <w:rFonts w:ascii="Calibri" w:hAnsi="Calibri" w:cs="Calibri"/>
                <w:b/>
                <w:sz w:val="24"/>
                <w:szCs w:val="24"/>
              </w:rPr>
              <w:t>Petr Zavadil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25FE7A5" w:rsidR="00515A76" w:rsidRPr="0013588D" w:rsidRDefault="002761B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761B2">
              <w:rPr>
                <w:rFonts w:ascii="Calibri" w:hAnsi="Calibri" w:cs="Calibri"/>
                <w:b/>
                <w:sz w:val="24"/>
                <w:szCs w:val="24"/>
              </w:rPr>
              <w:t>Vytvoření brand manuálu v kontextu rebrandingu vybrané společnosti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DFAE5EA" w:rsidR="00303FEA" w:rsidRPr="00303FEA" w:rsidRDefault="004C42C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1C9FC1C9" w:rsidR="00515A76" w:rsidRPr="0013588D" w:rsidRDefault="00453C0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339.75pt;height:164.65pt" o:ole="">
            <v:imagedata r:id="rId7" o:title=""/>
          </v:shape>
          <o:OLEObject Type="Embed" ProgID="Excel.Sheet.8" ShapeID="_x0000_i1040" DrawAspect="Content" ObjectID="_1774871810" r:id="rId8"/>
        </w:object>
      </w:r>
    </w:p>
    <w:p w14:paraId="5754D188" w14:textId="77777777" w:rsidR="004C42C4" w:rsidRDefault="004C42C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D5314E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89AB7C9" w14:textId="24709878" w:rsidR="004C42C4" w:rsidRPr="002B196B" w:rsidRDefault="002B196B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téma práce je v oblasti marketingové komunikace dlouhodobě aktuální</w:t>
      </w:r>
    </w:p>
    <w:p w14:paraId="0E96020C" w14:textId="583BBCB9" w:rsidR="002B196B" w:rsidRPr="002B196B" w:rsidRDefault="002B196B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adekvátní ve svém rozsahu i obsahu, neobsahuje nadbytečné informace vázané na obecné vnímání tématu v rámci oboru, což bývá neduhem tohoto typu práce </w:t>
      </w:r>
    </w:p>
    <w:p w14:paraId="06C3EDBC" w14:textId="7E6C1531" w:rsidR="002B196B" w:rsidRPr="006906A2" w:rsidRDefault="002B196B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metodiky práce je možné konstatovat, že je zpracována odpovídajícím způsobem, avšak pojmenování samotné kapitoly postihuje jen metodiku výzkumu, kde místo výzkumu by měla být uváděna práce </w:t>
      </w:r>
    </w:p>
    <w:p w14:paraId="1375EB85" w14:textId="0BEA9EAD" w:rsidR="006906A2" w:rsidRPr="002B196B" w:rsidRDefault="006906A2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kapitole 5.1 „C</w:t>
      </w:r>
      <w:r w:rsidR="00453C0C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l práce“ autor hovoří o firemní identitě, zde by však vzhledem k zaměření práce bylo vhodnější hovořit o korporátním designu, protože práce neakcentuje všechny složky firemní (korporátní) identity</w:t>
      </w:r>
    </w:p>
    <w:p w14:paraId="71A1670D" w14:textId="6CEB49E3" w:rsidR="002B196B" w:rsidRPr="00CD0B38" w:rsidRDefault="002B196B" w:rsidP="00C7324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CD0B38">
        <w:rPr>
          <w:rFonts w:ascii="Calibri" w:hAnsi="Calibri" w:cs="Calibri"/>
          <w:sz w:val="24"/>
          <w:szCs w:val="24"/>
        </w:rPr>
        <w:t>uváděné metody a jejich kombinace, tedy analýzou stávajících materiál ve spojení s benchmarkem a kvalitativní a kvantitativním výzkumem je pro donou úroveň kvalifikační práce optimální, jednotlivé metody</w:t>
      </w:r>
      <w:r w:rsidR="00CD0B38" w:rsidRPr="00CD0B38">
        <w:rPr>
          <w:rFonts w:ascii="Calibri" w:hAnsi="Calibri" w:cs="Calibri"/>
          <w:sz w:val="24"/>
          <w:szCs w:val="24"/>
        </w:rPr>
        <w:t>, resp. metody kvalitativního a kvantitativního šetření</w:t>
      </w:r>
      <w:r w:rsidRPr="00CD0B38">
        <w:rPr>
          <w:rFonts w:ascii="Calibri" w:hAnsi="Calibri" w:cs="Calibri"/>
          <w:sz w:val="24"/>
          <w:szCs w:val="24"/>
        </w:rPr>
        <w:t xml:space="preserve"> by mohly být detailněji </w:t>
      </w:r>
      <w:r w:rsidR="002542B3" w:rsidRPr="00CD0B38">
        <w:rPr>
          <w:rFonts w:ascii="Calibri" w:hAnsi="Calibri" w:cs="Calibri"/>
          <w:sz w:val="24"/>
          <w:szCs w:val="24"/>
        </w:rPr>
        <w:t>popsány (</w:t>
      </w:r>
      <w:r w:rsidRPr="00CD0B38">
        <w:rPr>
          <w:rFonts w:ascii="Calibri" w:hAnsi="Calibri" w:cs="Calibri"/>
          <w:sz w:val="24"/>
          <w:szCs w:val="24"/>
        </w:rPr>
        <w:t>v rovině provedení</w:t>
      </w:r>
      <w:r w:rsidR="00CD0B38">
        <w:rPr>
          <w:rFonts w:ascii="Calibri" w:hAnsi="Calibri" w:cs="Calibri"/>
          <w:sz w:val="24"/>
          <w:szCs w:val="24"/>
        </w:rPr>
        <w:t>)</w:t>
      </w:r>
    </w:p>
    <w:p w14:paraId="57C7161F" w14:textId="49F0CE84" w:rsidR="00CD0B38" w:rsidRPr="00CD0B38" w:rsidRDefault="00CD0B38" w:rsidP="00C7324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celkovém zpracování oceňuji i fakt, že autor dbal na estetickou úroveň doprovodného vizuálního obsahu a v případě umístění do těla práce je přepracoval do esteticky nenáročného stylu, čímž vznikl kompletní kultivovaný projev, což nebývá zvykem </w:t>
      </w:r>
    </w:p>
    <w:p w14:paraId="362F8116" w14:textId="4AEAEA42" w:rsidR="00CD0B38" w:rsidRPr="00CD0B38" w:rsidRDefault="00CD0B38" w:rsidP="00C7324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 kvalitativního šetření oceňuji důraz na podstatné závěry, které se pro autora staly východisky při zpracování projektové části práce </w:t>
      </w:r>
    </w:p>
    <w:p w14:paraId="3129BBD8" w14:textId="37B2C416" w:rsidR="00CD0B38" w:rsidRDefault="002542B3" w:rsidP="00C7324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2542B3">
        <w:rPr>
          <w:rFonts w:ascii="Calibri" w:hAnsi="Calibri" w:cs="Calibri"/>
          <w:bCs/>
          <w:sz w:val="24"/>
          <w:szCs w:val="24"/>
        </w:rPr>
        <w:t>v rámci intepretace dat z dotazníkového šetření absentuje jakékoli vyobrazení, např. graf nebo tabulkou, což text z</w:t>
      </w:r>
      <w:r>
        <w:rPr>
          <w:rFonts w:ascii="Calibri" w:hAnsi="Calibri" w:cs="Calibri"/>
          <w:bCs/>
          <w:sz w:val="24"/>
          <w:szCs w:val="24"/>
        </w:rPr>
        <w:t>ne</w:t>
      </w:r>
      <w:r w:rsidRPr="002542B3">
        <w:rPr>
          <w:rFonts w:ascii="Calibri" w:hAnsi="Calibri" w:cs="Calibri"/>
          <w:bCs/>
          <w:sz w:val="24"/>
          <w:szCs w:val="24"/>
        </w:rPr>
        <w:t xml:space="preserve">přehledňuje, je pochopitelné, že autor neuváděl jednoduché grafy, kždp. ze struktury dotazníku je zřejmé, že by místy kontingenční tabulka či graf bylo možné umístit, zároveň v rámci této části práce je </w:t>
      </w:r>
      <w:r>
        <w:rPr>
          <w:rFonts w:ascii="Calibri" w:hAnsi="Calibri" w:cs="Calibri"/>
          <w:bCs/>
          <w:sz w:val="24"/>
          <w:szCs w:val="24"/>
        </w:rPr>
        <w:t xml:space="preserve">místy </w:t>
      </w:r>
      <w:r w:rsidRPr="002542B3">
        <w:rPr>
          <w:rFonts w:ascii="Calibri" w:hAnsi="Calibri" w:cs="Calibri"/>
          <w:bCs/>
          <w:sz w:val="24"/>
          <w:szCs w:val="24"/>
        </w:rPr>
        <w:t xml:space="preserve">identifikovatelná </w:t>
      </w:r>
      <w:r>
        <w:rPr>
          <w:rFonts w:ascii="Calibri" w:hAnsi="Calibri" w:cs="Calibri"/>
          <w:bCs/>
          <w:sz w:val="24"/>
          <w:szCs w:val="24"/>
        </w:rPr>
        <w:t xml:space="preserve">značná </w:t>
      </w:r>
      <w:r w:rsidRPr="002542B3">
        <w:rPr>
          <w:rFonts w:ascii="Calibri" w:hAnsi="Calibri" w:cs="Calibri"/>
          <w:bCs/>
          <w:sz w:val="24"/>
          <w:szCs w:val="24"/>
        </w:rPr>
        <w:t>popisnost dat</w:t>
      </w:r>
      <w:r>
        <w:rPr>
          <w:rFonts w:ascii="Calibri" w:hAnsi="Calibri" w:cs="Calibri"/>
          <w:bCs/>
          <w:sz w:val="24"/>
          <w:szCs w:val="24"/>
        </w:rPr>
        <w:t xml:space="preserve">, kdy interpretace je spíše právě popisem </w:t>
      </w:r>
    </w:p>
    <w:p w14:paraId="6019539C" w14:textId="34C517C3" w:rsidR="006906A2" w:rsidRPr="002542B3" w:rsidRDefault="006906A2" w:rsidP="00C7324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projektová část práce je prakticky aplikovatelná a </w:t>
      </w:r>
    </w:p>
    <w:p w14:paraId="3FF79C08" w14:textId="77777777" w:rsidR="004C42C4" w:rsidRDefault="004C42C4" w:rsidP="004C42C4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12897FC6" w:rsidR="008242D2" w:rsidRPr="004C42C4" w:rsidRDefault="008242D2" w:rsidP="004C42C4">
      <w:pPr>
        <w:jc w:val="both"/>
        <w:rPr>
          <w:rFonts w:ascii="Calibri" w:hAnsi="Calibri" w:cs="Calibri"/>
          <w:b/>
          <w:sz w:val="24"/>
          <w:szCs w:val="24"/>
        </w:rPr>
      </w:pPr>
      <w:r w:rsidRPr="004C42C4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14:paraId="0CFDFA4C" w14:textId="2D461172" w:rsidR="004C42C4" w:rsidRPr="006906A2" w:rsidRDefault="006906A2" w:rsidP="004C42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Z webu daného subjektu je zřejmé, že Vaše tvorba byla aplikována, uveďte v jakém rozsahu a jak probíhala implementace. </w:t>
      </w:r>
    </w:p>
    <w:p w14:paraId="741813DC" w14:textId="7566A8F1" w:rsidR="006906A2" w:rsidRPr="004C42C4" w:rsidRDefault="006906A2" w:rsidP="004C42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Pro obhajobu zpřístupněte v rámci Přílohy III záznam (ne přepis) rozhovorů. </w:t>
      </w:r>
    </w:p>
    <w:p w14:paraId="729528F2" w14:textId="77777777" w:rsidR="004C42C4" w:rsidRDefault="004C42C4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008C743B" w:rsidR="00FA6194" w:rsidRPr="004C42C4" w:rsidRDefault="006A4B26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04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0D70DB6F" w14:textId="2FB1B6DA" w:rsidR="004C42C4" w:rsidRDefault="004C42C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C0898F" w14:textId="6E7DBAB7" w:rsidR="004A6F32" w:rsidRDefault="004A6F3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14:paraId="07A4911E" w14:textId="77777777" w:rsidR="004A6F32" w:rsidRDefault="004A6F3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8E3925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C42C4">
        <w:rPr>
          <w:rFonts w:ascii="Calibri" w:hAnsi="Calibri" w:cs="Calibri"/>
          <w:sz w:val="24"/>
          <w:szCs w:val="24"/>
        </w:rPr>
        <w:t>23. 04. 2024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B310" w14:textId="77777777" w:rsidR="001A506A" w:rsidRDefault="001A506A">
      <w:r>
        <w:separator/>
      </w:r>
    </w:p>
  </w:endnote>
  <w:endnote w:type="continuationSeparator" w:id="0">
    <w:p w14:paraId="0FA3688B" w14:textId="77777777" w:rsidR="001A506A" w:rsidRDefault="001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988F" w14:textId="77777777" w:rsidR="001A506A" w:rsidRDefault="001A506A">
      <w:r>
        <w:separator/>
      </w:r>
    </w:p>
  </w:footnote>
  <w:footnote w:type="continuationSeparator" w:id="0">
    <w:p w14:paraId="7BD99D7D" w14:textId="77777777" w:rsidR="001A506A" w:rsidRDefault="001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506A"/>
    <w:rsid w:val="001B0706"/>
    <w:rsid w:val="001B66AE"/>
    <w:rsid w:val="001C504C"/>
    <w:rsid w:val="001F125B"/>
    <w:rsid w:val="00201C13"/>
    <w:rsid w:val="0020495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542B3"/>
    <w:rsid w:val="0026323D"/>
    <w:rsid w:val="0026381D"/>
    <w:rsid w:val="0027357F"/>
    <w:rsid w:val="00275E4F"/>
    <w:rsid w:val="002761B2"/>
    <w:rsid w:val="00277CCC"/>
    <w:rsid w:val="0028399C"/>
    <w:rsid w:val="002A2209"/>
    <w:rsid w:val="002A6B01"/>
    <w:rsid w:val="002B07FF"/>
    <w:rsid w:val="002B196B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53C0C"/>
    <w:rsid w:val="00464666"/>
    <w:rsid w:val="0047669B"/>
    <w:rsid w:val="00476CB0"/>
    <w:rsid w:val="00484267"/>
    <w:rsid w:val="0048773E"/>
    <w:rsid w:val="00494841"/>
    <w:rsid w:val="00495425"/>
    <w:rsid w:val="004A6F32"/>
    <w:rsid w:val="004B153D"/>
    <w:rsid w:val="004B49CA"/>
    <w:rsid w:val="004B74D0"/>
    <w:rsid w:val="004C1E75"/>
    <w:rsid w:val="004C42C4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06A2"/>
    <w:rsid w:val="00696F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18E7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C30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0B38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41D8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EF6BB3"/>
    <w:rsid w:val="00F04F5E"/>
    <w:rsid w:val="00F0714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9</cp:revision>
  <cp:lastPrinted>2010-04-15T13:27:00Z</cp:lastPrinted>
  <dcterms:created xsi:type="dcterms:W3CDTF">2024-04-16T12:11:00Z</dcterms:created>
  <dcterms:modified xsi:type="dcterms:W3CDTF">2024-04-17T13:10:00Z</dcterms:modified>
</cp:coreProperties>
</file>