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C660D8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36A5D" w:rsidRPr="00936A5D">
        <w:rPr>
          <w:rFonts w:asciiTheme="minorHAnsi" w:hAnsiTheme="minorHAnsi" w:cstheme="minorHAnsi"/>
          <w:sz w:val="22"/>
          <w:szCs w:val="22"/>
        </w:rPr>
        <w:t xml:space="preserve">Martina </w:t>
      </w:r>
      <w:proofErr w:type="spellStart"/>
      <w:r w:rsidR="00936A5D" w:rsidRPr="00936A5D">
        <w:rPr>
          <w:rFonts w:asciiTheme="minorHAnsi" w:hAnsiTheme="minorHAnsi" w:cstheme="minorHAnsi"/>
          <w:sz w:val="22"/>
          <w:szCs w:val="22"/>
        </w:rPr>
        <w:t>Petríková</w:t>
      </w:r>
      <w:proofErr w:type="spellEnd"/>
    </w:p>
    <w:p w14:paraId="7BEB1D07" w14:textId="5A17FF2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AF58B0">
        <w:rPr>
          <w:rFonts w:asciiTheme="minorHAnsi" w:hAnsiTheme="minorHAnsi" w:cstheme="minorHAnsi"/>
          <w:sz w:val="22"/>
          <w:szCs w:val="22"/>
        </w:rPr>
        <w:t xml:space="preserve"> JUDr. Jiří Zicha,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25232B3F" w:rsidR="00025BF3" w:rsidRDefault="00025BF3" w:rsidP="00936A5D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36A5D" w:rsidRPr="00936A5D">
        <w:rPr>
          <w:rFonts w:cstheme="minorHAnsi"/>
        </w:rPr>
        <w:t>Nakládání s komunálním odpadem na území města</w:t>
      </w:r>
      <w:r w:rsidR="00936A5D">
        <w:rPr>
          <w:rFonts w:cstheme="minorHAnsi"/>
        </w:rPr>
        <w:t xml:space="preserve"> </w:t>
      </w:r>
      <w:r w:rsidR="00936A5D" w:rsidRPr="00936A5D">
        <w:rPr>
          <w:rFonts w:cstheme="minorHAnsi"/>
        </w:rPr>
        <w:t>Slavičín</w:t>
      </w:r>
      <w:r w:rsidR="00854F39">
        <w:rPr>
          <w:rFonts w:cstheme="minorHAnsi"/>
        </w:rPr>
        <w:t xml:space="preserve"> </w:t>
      </w:r>
    </w:p>
    <w:p w14:paraId="07FD52EA" w14:textId="4C199F9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9E0BA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A6B14FF" w:rsidR="000E094A" w:rsidRDefault="000B14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9F656CC" w:rsidR="000E094A" w:rsidRPr="000E094A" w:rsidRDefault="000434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216EF">
              <w:rPr>
                <w:rFonts w:cstheme="minorHAnsi"/>
                <w:iCs/>
              </w:rPr>
              <w:t xml:space="preserve">Cíle práce i metody použité k jejich dosažení jsou formulovány </w:t>
            </w:r>
            <w:r w:rsidR="000B14C6">
              <w:rPr>
                <w:rFonts w:cstheme="minorHAnsi"/>
                <w:iCs/>
              </w:rPr>
              <w:t xml:space="preserve">celkem </w:t>
            </w:r>
            <w:r w:rsidRPr="007216EF">
              <w:rPr>
                <w:rFonts w:cstheme="minorHAnsi"/>
                <w:iCs/>
              </w:rPr>
              <w:t>srozumitelně, odpovídají zadání práce a jsou vhodně zvolené pro jeho splnění.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CED8397" w:rsidR="000E094A" w:rsidRDefault="002343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6DC8ECD1" w:rsidR="008B781B" w:rsidRPr="000E094A" w:rsidRDefault="002778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7781A">
              <w:rPr>
                <w:rFonts w:cstheme="minorHAnsi"/>
              </w:rPr>
              <w:t xml:space="preserve">Teoretická část práce </w:t>
            </w:r>
            <w:r w:rsidR="000B14C6" w:rsidRPr="0027781A">
              <w:rPr>
                <w:rFonts w:cstheme="minorHAnsi"/>
              </w:rPr>
              <w:t xml:space="preserve">přináší vhled do řešené problematiky, a to na základě </w:t>
            </w:r>
            <w:r w:rsidR="002343B6">
              <w:rPr>
                <w:rFonts w:cstheme="minorHAnsi"/>
              </w:rPr>
              <w:t xml:space="preserve">vcelku </w:t>
            </w:r>
            <w:r w:rsidR="000B14C6" w:rsidRPr="0027781A">
              <w:rPr>
                <w:rFonts w:cstheme="minorHAnsi"/>
              </w:rPr>
              <w:t>vhodně zvolených zdrojů a jejich rešerše.</w:t>
            </w:r>
            <w:r w:rsidR="000B14C6">
              <w:rPr>
                <w:rFonts w:cstheme="minorHAnsi"/>
              </w:rPr>
              <w:t xml:space="preserve"> Poněkud nepřehledné je členění kapitol 2 a 3, také </w:t>
            </w:r>
            <w:r w:rsidR="002343B6">
              <w:rPr>
                <w:rFonts w:cstheme="minorHAnsi"/>
              </w:rPr>
              <w:t xml:space="preserve">pojednání o </w:t>
            </w:r>
            <w:r w:rsidR="000B14C6">
              <w:rPr>
                <w:rFonts w:cstheme="minorHAnsi"/>
              </w:rPr>
              <w:t>relevantních předpis</w:t>
            </w:r>
            <w:r w:rsidR="002343B6">
              <w:rPr>
                <w:rFonts w:cstheme="minorHAnsi"/>
              </w:rPr>
              <w:t>ech by mohlo být úplnější (zejm. předpisy EU) a lépe provázané. P</w:t>
            </w:r>
            <w:r w:rsidRPr="0027781A">
              <w:rPr>
                <w:rFonts w:cstheme="minorHAnsi"/>
              </w:rPr>
              <w:t>oužité zdroje jsou citovány adekvátním způsobem</w:t>
            </w:r>
            <w:r w:rsidR="002343B6">
              <w:rPr>
                <w:rFonts w:cstheme="minorHAnsi"/>
              </w:rPr>
              <w:t xml:space="preserve"> s drobnými formálními nedostatky (</w:t>
            </w:r>
            <w:r w:rsidR="002343B6">
              <w:rPr>
                <w:rFonts w:cstheme="minorHAnsi"/>
              </w:rPr>
              <w:t>psaní kapitálkami</w:t>
            </w:r>
            <w:r w:rsidR="002343B6">
              <w:rPr>
                <w:rFonts w:cstheme="minorHAnsi"/>
              </w:rPr>
              <w:t>)</w:t>
            </w:r>
            <w:r w:rsidRPr="0027781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DD0E9B">
              <w:rPr>
                <w:rFonts w:cstheme="minorHAnsi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90F278" w:rsidR="000E094A" w:rsidRDefault="00FD66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AFA6DB" w14:textId="3F900D57" w:rsidR="00FB7E7D" w:rsidRDefault="00DD0E9B" w:rsidP="00DD0E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C35D0">
              <w:rPr>
                <w:rFonts w:cstheme="minorHAnsi"/>
              </w:rPr>
              <w:t>Analytická část práce je přehledně a logicky strukturovaná</w:t>
            </w:r>
            <w:r w:rsidR="00FB7E7D">
              <w:rPr>
                <w:rFonts w:cstheme="minorHAnsi"/>
              </w:rPr>
              <w:t>, věnuje se</w:t>
            </w:r>
            <w:r w:rsidR="00FD66C3">
              <w:rPr>
                <w:rFonts w:cstheme="minorHAnsi"/>
              </w:rPr>
              <w:t xml:space="preserve"> poměrně podrobně dokumentům i faktickému fungování odpadového hospodářství v řešeném městě</w:t>
            </w:r>
            <w:r w:rsidR="00FB7E7D">
              <w:rPr>
                <w:rFonts w:cstheme="minorHAnsi"/>
              </w:rPr>
              <w:t>.</w:t>
            </w:r>
            <w:r w:rsidR="00FD66C3">
              <w:rPr>
                <w:rFonts w:cstheme="minorHAnsi"/>
              </w:rPr>
              <w:t xml:space="preserve"> kladně lze hodnotit také využití metody rozhovorů se zástupci městského úřadu a městské společnosti.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740EC83" w:rsidR="000E094A" w:rsidRDefault="008C12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1C5640C" w14:textId="05FDFEC5" w:rsidR="005C7480" w:rsidRDefault="008C12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Kapitola 10 je nazvána „</w:t>
            </w:r>
            <w:r w:rsidRPr="008C1274">
              <w:rPr>
                <w:rFonts w:cstheme="minorHAnsi"/>
              </w:rPr>
              <w:t>Shrnutí výsledků analýzy a závěrečná doporučení</w:t>
            </w:r>
            <w:r>
              <w:rPr>
                <w:rFonts w:cstheme="minorHAnsi"/>
              </w:rPr>
              <w:t>“ a má rozsah necelou jednu stranu. Obsahem je stručný souhrn SWOT analýzy (text tedy patří spíše do kap. 9.3). Práce bohužel neobsahuje žádný návrh, v tomto bodě je tedy zcela nedostatečná.</w:t>
            </w:r>
            <w:r w:rsidR="00FD66C3">
              <w:rPr>
                <w:rFonts w:cstheme="minorHAnsi"/>
              </w:rPr>
              <w:t xml:space="preserve">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6CF62EF" w:rsidR="000E094A" w:rsidRDefault="000B14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1D46D146" w:rsidR="000E094A" w:rsidRPr="000E094A" w:rsidRDefault="00B62C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</w:t>
            </w:r>
            <w:r w:rsidR="00F542DD">
              <w:rPr>
                <w:rFonts w:cstheme="minorHAnsi"/>
              </w:rPr>
              <w:t xml:space="preserve">vcelku </w:t>
            </w:r>
            <w:r>
              <w:rPr>
                <w:rFonts w:cstheme="minorHAnsi"/>
              </w:rPr>
              <w:t>standardní</w:t>
            </w:r>
            <w:r w:rsidR="00F542DD">
              <w:rPr>
                <w:rFonts w:cstheme="minorHAnsi"/>
              </w:rPr>
              <w:t>, byť s drobnými nedostatky (překlepy, chybějící interpunkce)</w:t>
            </w:r>
            <w:r w:rsidR="00FD66C3">
              <w:rPr>
                <w:rFonts w:cstheme="minorHAnsi"/>
              </w:rPr>
              <w:t>.</w:t>
            </w:r>
            <w:r w:rsidR="00F542D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Text je </w:t>
            </w:r>
            <w:r w:rsidR="000B14C6">
              <w:rPr>
                <w:rFonts w:cstheme="minorHAnsi"/>
              </w:rPr>
              <w:t xml:space="preserve">ne vždy </w:t>
            </w:r>
            <w:r>
              <w:rPr>
                <w:rFonts w:cstheme="minorHAnsi"/>
              </w:rPr>
              <w:t>logicky provázán</w:t>
            </w:r>
            <w:r w:rsidR="000B14C6">
              <w:rPr>
                <w:rFonts w:cstheme="minorHAnsi"/>
              </w:rPr>
              <w:t xml:space="preserve"> (např. v kap. 3 je toliko výčet a stručná charakteristika předpisů</w:t>
            </w:r>
            <w:r w:rsidR="00FD66C3">
              <w:rPr>
                <w:rFonts w:cstheme="minorHAnsi"/>
              </w:rPr>
              <w:t xml:space="preserve">), </w:t>
            </w:r>
            <w:r>
              <w:rPr>
                <w:rFonts w:cstheme="minorHAnsi"/>
              </w:rPr>
              <w:t>pracuje s odpovídající terminologií a zdroje cituje adekvátním způsobem</w:t>
            </w:r>
            <w:r w:rsidR="00FD66C3">
              <w:rPr>
                <w:rFonts w:cstheme="minorHAnsi"/>
              </w:rPr>
              <w:t xml:space="preserve"> (s drobnými formálními nedostatky)</w:t>
            </w:r>
            <w:r>
              <w:rPr>
                <w:rFonts w:cstheme="minorHAnsi"/>
              </w:rPr>
              <w:t xml:space="preserve">. Také grafické zpracování je odpovídající. 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10D12E8" w:rsidR="009C7318" w:rsidRDefault="008C12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934A089" w14:textId="170D1500" w:rsidR="00B62C01" w:rsidRDefault="00B62C01" w:rsidP="00B62C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</w:t>
            </w:r>
            <w:r w:rsidR="008C1274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prác</w:t>
            </w:r>
            <w:r w:rsidR="008C1274">
              <w:rPr>
                <w:rFonts w:cstheme="minorHAnsi"/>
              </w:rPr>
              <w:t>e neobsahuje návrhovou část, nesplňuje tedy zadání práce a měla by být dopracována (přitom lze doporučit, aby byly zohledněny i ostatní výše uvedené výhrady).</w:t>
            </w:r>
          </w:p>
          <w:p w14:paraId="76EDFDEE" w14:textId="77777777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64F06F62" w:rsidR="00B62C01" w:rsidRPr="000E094A" w:rsidRDefault="00B62C0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079FE781" w14:textId="77777777" w:rsidR="008C1274" w:rsidRDefault="002343B6" w:rsidP="008C1274">
      <w:pPr>
        <w:spacing w:after="120" w:line="240" w:lineRule="auto"/>
        <w:jc w:val="both"/>
        <w:rPr>
          <w:rFonts w:cstheme="minorHAnsi"/>
        </w:rPr>
      </w:pPr>
      <w:r w:rsidRPr="008C1274">
        <w:rPr>
          <w:rFonts w:cstheme="minorHAnsi"/>
        </w:rPr>
        <w:t>V</w:t>
      </w:r>
      <w:r w:rsidR="008C1274">
        <w:rPr>
          <w:rFonts w:cstheme="minorHAnsi"/>
        </w:rPr>
        <w:t>zhledem k neúplnosti práce a nenaplnění jejího zadání otázky nekladu.</w:t>
      </w:r>
    </w:p>
    <w:p w14:paraId="3128B4D1" w14:textId="0629AB5E" w:rsidR="0085398A" w:rsidRPr="00D20028" w:rsidRDefault="00D20028" w:rsidP="008C127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5BB9E4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8C1274">
            <w:rPr>
              <w:rFonts w:cstheme="minorHAnsi"/>
              <w:b/>
            </w:rPr>
            <w:t>nesplňuje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8C1274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A226FD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E0BAD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FF3B" w14:textId="77777777" w:rsidR="006528C7" w:rsidRDefault="006528C7" w:rsidP="00A40E93">
      <w:pPr>
        <w:spacing w:after="0" w:line="240" w:lineRule="auto"/>
      </w:pPr>
      <w:r>
        <w:separator/>
      </w:r>
    </w:p>
  </w:endnote>
  <w:endnote w:type="continuationSeparator" w:id="0">
    <w:p w14:paraId="7B5AE2AD" w14:textId="77777777" w:rsidR="006528C7" w:rsidRDefault="006528C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2D783" w14:textId="77777777" w:rsidR="006528C7" w:rsidRDefault="006528C7" w:rsidP="00A40E93">
      <w:pPr>
        <w:spacing w:after="0" w:line="240" w:lineRule="auto"/>
      </w:pPr>
      <w:r>
        <w:separator/>
      </w:r>
    </w:p>
  </w:footnote>
  <w:footnote w:type="continuationSeparator" w:id="0">
    <w:p w14:paraId="24B9C542" w14:textId="77777777" w:rsidR="006528C7" w:rsidRDefault="006528C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19939">
    <w:abstractNumId w:val="0"/>
  </w:num>
  <w:num w:numId="2" w16cid:durableId="1740325259">
    <w:abstractNumId w:val="3"/>
  </w:num>
  <w:num w:numId="3" w16cid:durableId="927731283">
    <w:abstractNumId w:val="2"/>
  </w:num>
  <w:num w:numId="4" w16cid:durableId="690037004">
    <w:abstractNumId w:val="1"/>
  </w:num>
  <w:num w:numId="5" w16cid:durableId="1401059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3466"/>
    <w:rsid w:val="00073689"/>
    <w:rsid w:val="000A3CD8"/>
    <w:rsid w:val="000B14C6"/>
    <w:rsid w:val="000C55A8"/>
    <w:rsid w:val="000E094A"/>
    <w:rsid w:val="00142EB7"/>
    <w:rsid w:val="001D595C"/>
    <w:rsid w:val="002343B6"/>
    <w:rsid w:val="0024258E"/>
    <w:rsid w:val="0027781A"/>
    <w:rsid w:val="0029651C"/>
    <w:rsid w:val="002C7B53"/>
    <w:rsid w:val="004D378C"/>
    <w:rsid w:val="00564F72"/>
    <w:rsid w:val="00567674"/>
    <w:rsid w:val="00592076"/>
    <w:rsid w:val="005A3B4A"/>
    <w:rsid w:val="005C4ACA"/>
    <w:rsid w:val="005C7480"/>
    <w:rsid w:val="006275AE"/>
    <w:rsid w:val="006528C7"/>
    <w:rsid w:val="0067082B"/>
    <w:rsid w:val="00671495"/>
    <w:rsid w:val="00694399"/>
    <w:rsid w:val="006C2724"/>
    <w:rsid w:val="006D2E02"/>
    <w:rsid w:val="0073639B"/>
    <w:rsid w:val="00737FDA"/>
    <w:rsid w:val="007553A6"/>
    <w:rsid w:val="00783609"/>
    <w:rsid w:val="00801E9C"/>
    <w:rsid w:val="0085398A"/>
    <w:rsid w:val="00854F39"/>
    <w:rsid w:val="008B781B"/>
    <w:rsid w:val="008C1274"/>
    <w:rsid w:val="00936A5D"/>
    <w:rsid w:val="00944950"/>
    <w:rsid w:val="00974EA2"/>
    <w:rsid w:val="00987B93"/>
    <w:rsid w:val="009A7ACB"/>
    <w:rsid w:val="009C322A"/>
    <w:rsid w:val="009C7318"/>
    <w:rsid w:val="009E0BAD"/>
    <w:rsid w:val="00A3624E"/>
    <w:rsid w:val="00A40E93"/>
    <w:rsid w:val="00A7527E"/>
    <w:rsid w:val="00AC0F5C"/>
    <w:rsid w:val="00AF58B0"/>
    <w:rsid w:val="00B14451"/>
    <w:rsid w:val="00B62C01"/>
    <w:rsid w:val="00BA16DD"/>
    <w:rsid w:val="00C6109C"/>
    <w:rsid w:val="00CA34A9"/>
    <w:rsid w:val="00CB1C3E"/>
    <w:rsid w:val="00CD12C3"/>
    <w:rsid w:val="00CE55BD"/>
    <w:rsid w:val="00D20028"/>
    <w:rsid w:val="00D84562"/>
    <w:rsid w:val="00DB2854"/>
    <w:rsid w:val="00DB4A61"/>
    <w:rsid w:val="00DC15EA"/>
    <w:rsid w:val="00DC7D52"/>
    <w:rsid w:val="00DD0E9B"/>
    <w:rsid w:val="00E04C5F"/>
    <w:rsid w:val="00E22423"/>
    <w:rsid w:val="00E7633F"/>
    <w:rsid w:val="00ED657D"/>
    <w:rsid w:val="00EF1720"/>
    <w:rsid w:val="00F542DD"/>
    <w:rsid w:val="00F92C79"/>
    <w:rsid w:val="00FB7E7D"/>
    <w:rsid w:val="00FC2852"/>
    <w:rsid w:val="00FD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0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41015D" w:rsidRDefault="00A7255F" w:rsidP="00A7255F">
          <w:pPr>
            <w:pStyle w:val="71D94F8C5A404E0EAE8FB9F1CA03031D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38E9"/>
    <w:rsid w:val="0041015D"/>
    <w:rsid w:val="00470A02"/>
    <w:rsid w:val="004D5F6F"/>
    <w:rsid w:val="00510546"/>
    <w:rsid w:val="005E083B"/>
    <w:rsid w:val="00737FDA"/>
    <w:rsid w:val="00A7255F"/>
    <w:rsid w:val="00D55194"/>
    <w:rsid w:val="00D8257E"/>
    <w:rsid w:val="00DC15EA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Zicha</cp:lastModifiedBy>
  <cp:revision>34</cp:revision>
  <cp:lastPrinted>2022-03-14T11:55:00Z</cp:lastPrinted>
  <dcterms:created xsi:type="dcterms:W3CDTF">2022-03-14T14:31:00Z</dcterms:created>
  <dcterms:modified xsi:type="dcterms:W3CDTF">2024-05-28T09:38:00Z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