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1502EA" w:rsidR="0073639B" w:rsidRPr="00CF2ABD" w:rsidRDefault="00A40E93" w:rsidP="00CF2ABD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CF2ABD">
        <w:rPr>
          <w:rFonts w:asciiTheme="minorHAnsi" w:hAnsiTheme="minorHAnsi" w:cstheme="minorHAnsi"/>
          <w:sz w:val="22"/>
          <w:szCs w:val="22"/>
        </w:rPr>
        <w:tab/>
      </w:r>
      <w:r w:rsidR="00CF2ABD">
        <w:rPr>
          <w:rFonts w:asciiTheme="minorHAnsi" w:hAnsiTheme="minorHAnsi" w:cstheme="minorHAnsi"/>
          <w:sz w:val="22"/>
          <w:szCs w:val="22"/>
        </w:rPr>
        <w:tab/>
      </w:r>
      <w:r w:rsidR="00CF2ABD">
        <w:rPr>
          <w:rFonts w:asciiTheme="minorHAnsi" w:hAnsiTheme="minorHAnsi" w:cstheme="minorHAnsi"/>
          <w:sz w:val="22"/>
          <w:szCs w:val="22"/>
        </w:rPr>
        <w:tab/>
      </w:r>
      <w:r w:rsidR="00CF2ABD" w:rsidRPr="008218BD">
        <w:rPr>
          <w:rFonts w:asciiTheme="minorHAnsi" w:hAnsiTheme="minorHAnsi" w:cstheme="minorHAnsi"/>
          <w:sz w:val="22"/>
          <w:szCs w:val="22"/>
        </w:rPr>
        <w:t xml:space="preserve">Bc. Dominika </w:t>
      </w:r>
      <w:r w:rsidR="00CF2ABD" w:rsidRPr="008218BD">
        <w:rPr>
          <w:rFonts w:asciiTheme="minorHAnsi" w:hAnsiTheme="minorHAnsi" w:cstheme="minorHAnsi"/>
          <w:smallCaps/>
          <w:sz w:val="22"/>
          <w:szCs w:val="22"/>
        </w:rPr>
        <w:t>Hanáčková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A602A4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F2ABD">
        <w:rPr>
          <w:rFonts w:cstheme="minorHAnsi"/>
        </w:rPr>
        <w:tab/>
      </w:r>
      <w:r w:rsidR="00CF2ABD">
        <w:rPr>
          <w:rFonts w:cstheme="minorHAnsi"/>
        </w:rPr>
        <w:tab/>
      </w:r>
      <w:r w:rsidR="00CF2ABD">
        <w:rPr>
          <w:rFonts w:cstheme="minorHAnsi"/>
        </w:rPr>
        <w:tab/>
      </w:r>
      <w:r w:rsidR="00CF2ABD">
        <w:rPr>
          <w:rFonts w:cstheme="minorHAnsi"/>
        </w:rPr>
        <w:tab/>
      </w:r>
      <w:r w:rsidR="00CF2ABD" w:rsidRPr="00CF2ABD">
        <w:rPr>
          <w:rFonts w:cstheme="minorHAnsi"/>
        </w:rPr>
        <w:t>Projekt na zlepšení marketingové komunikace obce Uherský Brod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F09AA0" w:rsidR="000E094A" w:rsidRDefault="00C357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D40A7A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40A7A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C357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2AD7EA" w14:textId="280B174E" w:rsidR="00CF2ABD" w:rsidRPr="00C357C6" w:rsidRDefault="00CF2ABD" w:rsidP="00CF2A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357C6">
              <w:rPr>
                <w:rFonts w:cstheme="minorHAnsi"/>
              </w:rPr>
              <w:t xml:space="preserve">Cíle diplomové práce jsou formulovány v souladu s tématem DP. </w:t>
            </w:r>
            <w:r w:rsidR="00C357C6">
              <w:rPr>
                <w:rFonts w:cstheme="minorHAnsi"/>
              </w:rPr>
              <w:t>Použité</w:t>
            </w:r>
            <w:r w:rsidRPr="00C357C6">
              <w:rPr>
                <w:rFonts w:cstheme="minorHAnsi"/>
              </w:rPr>
              <w:t xml:space="preserve"> výzkumné postupy, metody a techniky vedoucí k naplnění </w:t>
            </w:r>
            <w:r w:rsidR="00C357C6">
              <w:rPr>
                <w:rFonts w:cstheme="minorHAnsi"/>
              </w:rPr>
              <w:t>stanovených</w:t>
            </w:r>
            <w:r w:rsidRPr="00C357C6">
              <w:rPr>
                <w:rFonts w:cstheme="minorHAnsi"/>
              </w:rPr>
              <w:t xml:space="preserve"> cílů mohly být realizovány</w:t>
            </w:r>
            <w:r w:rsidR="00C357C6">
              <w:rPr>
                <w:rFonts w:cstheme="minorHAnsi"/>
              </w:rPr>
              <w:t xml:space="preserve"> </w:t>
            </w:r>
            <w:r w:rsidRPr="00C357C6">
              <w:rPr>
                <w:rFonts w:cstheme="minorHAnsi"/>
              </w:rPr>
              <w:t>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EB8AFD" w:rsidR="000E094A" w:rsidRDefault="00C108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D40A7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40A7A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D204719" w:rsidR="000E094A" w:rsidRPr="000E094A" w:rsidRDefault="00CF2A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DP mohla být zpracována svědomitěji. Například</w:t>
            </w:r>
            <w:r w:rsidR="00C108FA">
              <w:rPr>
                <w:rFonts w:cstheme="minorHAnsi"/>
              </w:rPr>
              <w:t xml:space="preserve"> zde mohly být zmíněny i některé vybrané moderní trendy marketingové komunikace či problematika zaměřená na oblast integrované marketingové komunikace. </w:t>
            </w:r>
            <w:r>
              <w:rPr>
                <w:rFonts w:cstheme="minorHAnsi"/>
              </w:rPr>
              <w:t>V této části DP nejsou dále představeny výzkumné analýzy, metody či techniky, které budou implementovány v části analytické</w:t>
            </w:r>
            <w:r w:rsidR="00C108FA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37853C" w:rsidR="000E094A" w:rsidRDefault="009333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D40A7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40A7A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863171" w14:textId="2578FBBD" w:rsidR="00C108FA" w:rsidRDefault="00C108FA" w:rsidP="00C108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DP začíná charakteristikou vybrané obce.</w:t>
            </w:r>
            <w:r w:rsidR="00C357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Analýza</w:t>
            </w:r>
            <w:r w:rsidR="00C357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současn</w:t>
            </w:r>
            <w:r w:rsidR="00C357C6">
              <w:rPr>
                <w:rFonts w:cstheme="minorHAnsi"/>
              </w:rPr>
              <w:t xml:space="preserve">ého </w:t>
            </w:r>
            <w:r>
              <w:rPr>
                <w:rFonts w:cstheme="minorHAnsi"/>
              </w:rPr>
              <w:t>stav</w:t>
            </w:r>
            <w:r w:rsidR="00C357C6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marketingové komunikace</w:t>
            </w:r>
            <w:r w:rsidR="00C357C6">
              <w:rPr>
                <w:rFonts w:cstheme="minorHAnsi"/>
              </w:rPr>
              <w:t xml:space="preserve"> obce byla mimo jiné realizována prostřednictvím kvantitativního i kvalitativního výzkumu. Pozitivně lze hodnotit realizaci čtyř rozhovorů. Diskutabilní se může jevit počet respondentů v rámci realizovaného dotazníkového šetření. V rámci této části DP mohla být využita také technika benchmarkingu, která by přinesla další podnětné informace a</w:t>
            </w:r>
            <w:r w:rsidR="009333B2">
              <w:rPr>
                <w:rFonts w:cstheme="minorHAnsi"/>
              </w:rPr>
              <w:t> </w:t>
            </w:r>
            <w:r w:rsidR="00C357C6">
              <w:rPr>
                <w:rFonts w:cstheme="minorHAnsi"/>
              </w:rPr>
              <w:t xml:space="preserve">skutečnosti použitelné </w:t>
            </w:r>
            <w:r w:rsidR="009333B2">
              <w:rPr>
                <w:rFonts w:cstheme="minorHAnsi"/>
              </w:rPr>
              <w:t xml:space="preserve">nejen </w:t>
            </w:r>
            <w:r w:rsidR="00C357C6">
              <w:rPr>
                <w:rFonts w:cstheme="minorHAnsi"/>
              </w:rPr>
              <w:t>pro zpracování jednotlivých akčních plánů.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AC5B10" w:rsidR="000E094A" w:rsidRDefault="00937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D40A7A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40A7A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1CB31C6" w:rsidR="000E094A" w:rsidRPr="000E094A" w:rsidRDefault="009333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DP svým způsobem navazuje na část teoretickou i analytickou a je rozdělena do celkem čtyř akčních plánů, které vycházejí z jasných a konkrétních argumentů</w:t>
            </w:r>
            <w:r w:rsidR="0099454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Diskutabilní se může zdát nákladová analýza jednotlivých akčních plánů, která je uvedena v</w:t>
            </w:r>
            <w:r w:rsidR="00994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tabulce (Tabulka 22). Třístupňová hodnotící škála pro </w:t>
            </w:r>
            <w:r w:rsidR="0093746A">
              <w:rPr>
                <w:rFonts w:cstheme="minorHAnsi"/>
              </w:rPr>
              <w:t>závažnost a </w:t>
            </w:r>
            <w:r>
              <w:rPr>
                <w:rFonts w:cstheme="minorHAnsi"/>
              </w:rPr>
              <w:t>pravděpodobnost</w:t>
            </w:r>
            <w:r w:rsidR="009374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rizika, v rámci rizikové analýzy projektu, není vhodně a správně stanovena</w:t>
            </w:r>
            <w:r w:rsidR="0093746A">
              <w:rPr>
                <w:rFonts w:cstheme="minorHAnsi"/>
              </w:rPr>
              <w:t>. Časová náročnost jednotlivých akčních plánů mohla být zpracována svědomitěji.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93ED23" w:rsidR="000E094A" w:rsidRDefault="009945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D40A7A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D40A7A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6375FCD" w:rsidR="000E094A" w:rsidRPr="000E094A" w:rsidRDefault="009374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C74D16">
              <w:rPr>
                <w:rFonts w:cstheme="minorHAnsi"/>
              </w:rPr>
              <w:t>tabulek.</w:t>
            </w:r>
            <w:r w:rsidR="00374B43">
              <w:rPr>
                <w:rFonts w:cstheme="minorHAnsi"/>
              </w:rPr>
              <w:t xml:space="preserve"> </w:t>
            </w:r>
            <w:r w:rsidR="00374B43" w:rsidRPr="00374B43">
              <w:rPr>
                <w:rFonts w:cstheme="minorHAnsi"/>
              </w:rPr>
              <w:t xml:space="preserve">Dále lze </w:t>
            </w:r>
            <w:r w:rsidR="00374B43">
              <w:rPr>
                <w:rFonts w:cstheme="minorHAnsi"/>
              </w:rPr>
              <w:t>D</w:t>
            </w:r>
            <w:r w:rsidR="00374B43" w:rsidRPr="00374B43">
              <w:rPr>
                <w:rFonts w:cstheme="minorHAnsi"/>
              </w:rPr>
              <w:t>P vytknout nevyužití knihy od</w:t>
            </w:r>
            <w:r w:rsidR="00374B43">
              <w:rPr>
                <w:rFonts w:cstheme="minorHAnsi"/>
              </w:rPr>
              <w:t xml:space="preserve"> C</w:t>
            </w:r>
            <w:r w:rsidR="00374B43" w:rsidRPr="00374B43">
              <w:rPr>
                <w:rFonts w:cstheme="minorHAnsi"/>
              </w:rPr>
              <w:t>haffey</w:t>
            </w:r>
            <w:r w:rsidR="00374B43">
              <w:rPr>
                <w:rFonts w:cstheme="minorHAnsi"/>
              </w:rPr>
              <w:t xml:space="preserve"> </w:t>
            </w:r>
            <w:r w:rsidR="00374B43" w:rsidRPr="00374B43">
              <w:rPr>
                <w:rFonts w:cstheme="minorHAnsi"/>
              </w:rPr>
              <w:t>a</w:t>
            </w:r>
            <w:r w:rsidR="00374B43">
              <w:rPr>
                <w:rFonts w:cstheme="minorHAnsi"/>
              </w:rPr>
              <w:t xml:space="preserve"> E</w:t>
            </w:r>
            <w:r w:rsidR="00374B43" w:rsidRPr="00374B43">
              <w:rPr>
                <w:rFonts w:cstheme="minorHAnsi"/>
              </w:rPr>
              <w:t>llis-</w:t>
            </w:r>
            <w:r w:rsidR="00374B43">
              <w:rPr>
                <w:rFonts w:cstheme="minorHAnsi"/>
              </w:rPr>
              <w:t>C</w:t>
            </w:r>
            <w:r w:rsidR="00374B43" w:rsidRPr="00374B43">
              <w:rPr>
                <w:rFonts w:cstheme="minorHAnsi"/>
              </w:rPr>
              <w:t>hadwick</w:t>
            </w:r>
            <w:r w:rsidR="00374B43">
              <w:rPr>
                <w:rFonts w:cstheme="minorHAnsi"/>
              </w:rPr>
              <w:t xml:space="preserve"> (</w:t>
            </w:r>
            <w:r w:rsidR="00374B43" w:rsidRPr="00374B43">
              <w:rPr>
                <w:rFonts w:cstheme="minorHAnsi"/>
              </w:rPr>
              <w:t>2019</w:t>
            </w:r>
            <w:r w:rsidR="00374B43">
              <w:rPr>
                <w:rFonts w:cstheme="minorHAnsi"/>
              </w:rPr>
              <w:t>) a knihy od P</w:t>
            </w:r>
            <w:r w:rsidR="00374B43" w:rsidRPr="00374B43">
              <w:rPr>
                <w:rFonts w:cstheme="minorHAnsi"/>
              </w:rPr>
              <w:t>ride</w:t>
            </w:r>
            <w:r w:rsidR="00374B43">
              <w:rPr>
                <w:rFonts w:cstheme="minorHAnsi"/>
              </w:rPr>
              <w:t xml:space="preserve"> </w:t>
            </w:r>
            <w:r w:rsidR="00374B43" w:rsidRPr="00374B43">
              <w:rPr>
                <w:rFonts w:cstheme="minorHAnsi"/>
              </w:rPr>
              <w:t>a</w:t>
            </w:r>
            <w:r w:rsidR="00374B43">
              <w:rPr>
                <w:rFonts w:cstheme="minorHAnsi"/>
              </w:rPr>
              <w:t xml:space="preserve"> F</w:t>
            </w:r>
            <w:r w:rsidR="00374B43" w:rsidRPr="00374B43">
              <w:rPr>
                <w:rFonts w:cstheme="minorHAnsi"/>
              </w:rPr>
              <w:t>errell (2016)</w:t>
            </w:r>
            <w:r w:rsidR="00374B43">
              <w:rPr>
                <w:rFonts w:cstheme="minorHAnsi"/>
              </w:rPr>
              <w:t xml:space="preserve">, </w:t>
            </w:r>
            <w:r w:rsidR="00374B43" w:rsidRPr="00374B43">
              <w:rPr>
                <w:rFonts w:cstheme="minorHAnsi"/>
              </w:rPr>
              <w:t xml:space="preserve">neboť </w:t>
            </w:r>
            <w:r w:rsidR="00374B43">
              <w:rPr>
                <w:rFonts w:cstheme="minorHAnsi"/>
              </w:rPr>
              <w:t xml:space="preserve">obě </w:t>
            </w:r>
            <w:r w:rsidR="00374B43" w:rsidRPr="00374B43">
              <w:rPr>
                <w:rFonts w:cstheme="minorHAnsi"/>
              </w:rPr>
              <w:t>j</w:t>
            </w:r>
            <w:r w:rsidR="00374B43">
              <w:rPr>
                <w:rFonts w:cstheme="minorHAnsi"/>
              </w:rPr>
              <w:t>sou</w:t>
            </w:r>
            <w:r w:rsidR="00374B43" w:rsidRPr="00374B43">
              <w:rPr>
                <w:rFonts w:cstheme="minorHAnsi"/>
              </w:rPr>
              <w:t xml:space="preserve"> součástí oficiálních Zásad pro vypracování </w:t>
            </w:r>
            <w:r w:rsidR="00374B43">
              <w:rPr>
                <w:rFonts w:cstheme="minorHAnsi"/>
              </w:rPr>
              <w:t>D</w:t>
            </w:r>
            <w:r w:rsidR="00374B43" w:rsidRPr="00374B43">
              <w:rPr>
                <w:rFonts w:cstheme="minorHAnsi"/>
              </w:rPr>
              <w:t>P</w:t>
            </w:r>
            <w:r w:rsidR="00374B43">
              <w:rPr>
                <w:rFonts w:cstheme="minorHAnsi"/>
              </w:rPr>
              <w:t xml:space="preserve">. </w:t>
            </w:r>
            <w:r w:rsidRPr="00C74D16">
              <w:rPr>
                <w:rFonts w:cstheme="minorHAnsi"/>
              </w:rPr>
              <w:t>Diplomová práce je zpracována poměrně dobře po stránce 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64B04A" w:rsidR="009C7318" w:rsidRDefault="008625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40A7A">
        <w:trPr>
          <w:trHeight w:val="815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385A2" w14:textId="24A16525" w:rsidR="0099454C" w:rsidRDefault="0099454C" w:rsidP="0099454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vykazuje </w:t>
            </w:r>
            <w:r w:rsidRPr="00DE2417">
              <w:rPr>
                <w:rFonts w:cstheme="minorHAnsi"/>
              </w:rPr>
              <w:t>aktivní zájem studentky</w:t>
            </w:r>
            <w:r>
              <w:rPr>
                <w:rFonts w:cstheme="minorHAnsi"/>
              </w:rPr>
              <w:t xml:space="preserve"> o dané téma DP.</w:t>
            </w:r>
          </w:p>
          <w:p w14:paraId="165635E4" w14:textId="7F974A7B" w:rsidR="00D6308A" w:rsidRPr="000E094A" w:rsidRDefault="0099454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AF3B054" w14:textId="439F1C3B" w:rsidR="006E5820" w:rsidRDefault="006E5820" w:rsidP="006E582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lze definovat termín integrovaná marketingová komunikace a jaké nyní převládají vybrané trendy v oblasti moderní marketingové komunikace? Jak konkrétně by se daly tyto vybrané trendy aplikovat v souvislosti s tématem diplomové práce?</w:t>
      </w:r>
    </w:p>
    <w:p w14:paraId="3128B4D1" w14:textId="2CD14D0D" w:rsidR="0085398A" w:rsidRPr="006E5820" w:rsidRDefault="006E5820" w:rsidP="006E582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základě, jakých dat a skutečností byla provedena nákladová analýza jednotlivých akčních plánů? Existují nějaká finanční omezení ze strany vybrané obce?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1942"/>
    <w:rsid w:val="00144F5B"/>
    <w:rsid w:val="0024258E"/>
    <w:rsid w:val="0029651C"/>
    <w:rsid w:val="002C5ED6"/>
    <w:rsid w:val="00374B43"/>
    <w:rsid w:val="004D378C"/>
    <w:rsid w:val="005C4ACA"/>
    <w:rsid w:val="0067082B"/>
    <w:rsid w:val="00694399"/>
    <w:rsid w:val="006E5820"/>
    <w:rsid w:val="0073639B"/>
    <w:rsid w:val="007539AC"/>
    <w:rsid w:val="007553A6"/>
    <w:rsid w:val="007E17F3"/>
    <w:rsid w:val="0085398A"/>
    <w:rsid w:val="0086257F"/>
    <w:rsid w:val="008B781B"/>
    <w:rsid w:val="008E2072"/>
    <w:rsid w:val="009333B2"/>
    <w:rsid w:val="0093746A"/>
    <w:rsid w:val="00974EA2"/>
    <w:rsid w:val="00987B93"/>
    <w:rsid w:val="0099454C"/>
    <w:rsid w:val="009C322A"/>
    <w:rsid w:val="009C7318"/>
    <w:rsid w:val="00A40E93"/>
    <w:rsid w:val="00A7527E"/>
    <w:rsid w:val="00B14451"/>
    <w:rsid w:val="00BA16DD"/>
    <w:rsid w:val="00C108FA"/>
    <w:rsid w:val="00C357C6"/>
    <w:rsid w:val="00CA34A9"/>
    <w:rsid w:val="00CD12C3"/>
    <w:rsid w:val="00CF2ABD"/>
    <w:rsid w:val="00D40A7A"/>
    <w:rsid w:val="00D6308A"/>
    <w:rsid w:val="00D960BC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CF2A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F2AB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