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6847E2" w:rsidRPr="00C50B27" w:rsidTr="00C50B27">
        <w:tc>
          <w:tcPr>
            <w:tcW w:w="9828" w:type="dxa"/>
            <w:gridSpan w:val="9"/>
          </w:tcPr>
          <w:p w:rsidR="006847E2" w:rsidRPr="00C50B27" w:rsidRDefault="006847E2" w:rsidP="00C03D7D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 xml:space="preserve">POSUDEK VEDOUCÍHO </w:t>
            </w:r>
            <w:r w:rsidR="00C03D7D">
              <w:rPr>
                <w:b/>
                <w:sz w:val="22"/>
                <w:szCs w:val="22"/>
              </w:rPr>
              <w:t>BAKALÁŘSKÉ</w:t>
            </w:r>
            <w:r w:rsidRPr="00C50B27">
              <w:rPr>
                <w:b/>
                <w:sz w:val="22"/>
                <w:szCs w:val="22"/>
              </w:rPr>
              <w:t xml:space="preserve"> PRÁCE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020" w:type="dxa"/>
            <w:gridSpan w:val="8"/>
          </w:tcPr>
          <w:p w:rsidR="006847E2" w:rsidRPr="00C50B27" w:rsidRDefault="00E21F4C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Monika </w:t>
            </w:r>
            <w:proofErr w:type="spellStart"/>
            <w:r>
              <w:rPr>
                <w:sz w:val="22"/>
                <w:szCs w:val="22"/>
              </w:rPr>
              <w:t>Šenkyříková</w:t>
            </w:r>
            <w:proofErr w:type="spellEnd"/>
            <w:r>
              <w:rPr>
                <w:sz w:val="22"/>
                <w:szCs w:val="22"/>
              </w:rPr>
              <w:t xml:space="preserve">, </w:t>
            </w:r>
            <w:proofErr w:type="spellStart"/>
            <w:r>
              <w:rPr>
                <w:sz w:val="22"/>
                <w:szCs w:val="22"/>
              </w:rPr>
              <w:t>DiS</w:t>
            </w:r>
            <w:proofErr w:type="spellEnd"/>
            <w:r>
              <w:rPr>
                <w:sz w:val="22"/>
                <w:szCs w:val="22"/>
              </w:rPr>
              <w:t xml:space="preserve">. 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Název práce</w:t>
            </w:r>
          </w:p>
        </w:tc>
        <w:tc>
          <w:tcPr>
            <w:tcW w:w="7020" w:type="dxa"/>
            <w:gridSpan w:val="8"/>
          </w:tcPr>
          <w:p w:rsidR="006847E2" w:rsidRPr="00C50B27" w:rsidRDefault="00E21F4C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Využití herních metod ve výchově a vzdělávání dospělých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Vedoucí práce</w:t>
            </w:r>
          </w:p>
        </w:tc>
        <w:tc>
          <w:tcPr>
            <w:tcW w:w="7020" w:type="dxa"/>
            <w:gridSpan w:val="8"/>
          </w:tcPr>
          <w:p w:rsidR="006847E2" w:rsidRPr="00C50B27" w:rsidRDefault="00100D36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</w:t>
            </w:r>
            <w:r w:rsidR="00B942C3">
              <w:rPr>
                <w:sz w:val="22"/>
                <w:szCs w:val="22"/>
              </w:rPr>
              <w:t xml:space="preserve">oc. PhDr. Mgr. Jaroslav Balvín, CSc. 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834807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Studijní program</w:t>
            </w:r>
            <w:bookmarkStart w:id="0" w:name="_GoBack"/>
            <w:bookmarkEnd w:id="0"/>
          </w:p>
        </w:tc>
        <w:tc>
          <w:tcPr>
            <w:tcW w:w="7020" w:type="dxa"/>
            <w:gridSpan w:val="8"/>
          </w:tcPr>
          <w:p w:rsidR="006847E2" w:rsidRPr="00C50B27" w:rsidRDefault="0037153C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Specializace v pedagogice 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Forma studia</w:t>
            </w:r>
          </w:p>
        </w:tc>
        <w:tc>
          <w:tcPr>
            <w:tcW w:w="7020" w:type="dxa"/>
            <w:gridSpan w:val="8"/>
          </w:tcPr>
          <w:p w:rsidR="006847E2" w:rsidRPr="00C50B27" w:rsidRDefault="00B942C3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Kombinovaná</w:t>
            </w:r>
          </w:p>
        </w:tc>
      </w:tr>
      <w:tr w:rsidR="006847E2" w:rsidRPr="00C50B27" w:rsidTr="00C50B27">
        <w:tc>
          <w:tcPr>
            <w:tcW w:w="2808" w:type="dxa"/>
            <w:vAlign w:val="center"/>
          </w:tcPr>
          <w:p w:rsidR="006847E2" w:rsidRPr="00C50B27" w:rsidRDefault="006847E2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7020" w:type="dxa"/>
            <w:gridSpan w:val="8"/>
          </w:tcPr>
          <w:p w:rsidR="006847E2" w:rsidRPr="00C50B27" w:rsidRDefault="006847E2" w:rsidP="00C50B27">
            <w:pPr>
              <w:jc w:val="right"/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Stupeň hodnocení</w:t>
            </w:r>
          </w:p>
          <w:p w:rsidR="006847E2" w:rsidRPr="00C50B27" w:rsidRDefault="006847E2" w:rsidP="00C50B27">
            <w:pPr>
              <w:jc w:val="right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dle stupnice ECTS</w:t>
            </w: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</w:tcPr>
          <w:p w:rsidR="006847E2" w:rsidRPr="00C50B27" w:rsidRDefault="006847E2" w:rsidP="00C50B27">
            <w:pPr>
              <w:jc w:val="center"/>
              <w:rPr>
                <w:color w:val="FFFFFF"/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0E1E0B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Úroveň jazykového zpracování</w:t>
            </w:r>
            <w:r w:rsidR="00B411DB">
              <w:rPr>
                <w:sz w:val="22"/>
                <w:szCs w:val="22"/>
              </w:rPr>
              <w:t xml:space="preserve"> (odborná úroveň</w:t>
            </w:r>
            <w:r w:rsidR="005C219A" w:rsidRPr="00C50B27">
              <w:rPr>
                <w:sz w:val="22"/>
                <w:szCs w:val="22"/>
              </w:rPr>
              <w:t xml:space="preserve"> textu, gramatická </w:t>
            </w:r>
            <w:r w:rsidR="005C219A" w:rsidRPr="00C50B27"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507" w:type="dxa"/>
            <w:vAlign w:val="center"/>
          </w:tcPr>
          <w:p w:rsidR="006847E2" w:rsidRPr="00C50B27" w:rsidRDefault="000E1E0B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Dodržení formálních náležitostí (</w:t>
            </w:r>
            <w:r w:rsidR="00B411DB">
              <w:rPr>
                <w:sz w:val="22"/>
                <w:szCs w:val="22"/>
              </w:rPr>
              <w:t>dodržení citační normy</w:t>
            </w:r>
            <w:r w:rsidRPr="00C50B27">
              <w:rPr>
                <w:sz w:val="22"/>
                <w:szCs w:val="22"/>
              </w:rPr>
              <w:t>, úprava</w:t>
            </w:r>
            <w:r w:rsidR="00B411DB">
              <w:rPr>
                <w:sz w:val="22"/>
                <w:szCs w:val="22"/>
              </w:rPr>
              <w:t xml:space="preserve"> práce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0E1E0B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6847E2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 xml:space="preserve">Teoretická východiska </w:t>
            </w:r>
            <w:r w:rsidR="006847E2" w:rsidRPr="00C50B27">
              <w:rPr>
                <w:b/>
                <w:color w:val="FFFFFF"/>
                <w:sz w:val="22"/>
                <w:szCs w:val="22"/>
              </w:rPr>
              <w:t>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C219A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325610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0E1E0B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6791" w:type="dxa"/>
            <w:gridSpan w:val="3"/>
          </w:tcPr>
          <w:p w:rsidR="005C219A" w:rsidRPr="00C50B27" w:rsidRDefault="0055255D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Práce s odbornou literaturou (využití re</w:t>
            </w:r>
            <w:r w:rsidR="00B411DB">
              <w:rPr>
                <w:sz w:val="22"/>
                <w:szCs w:val="22"/>
              </w:rPr>
              <w:t xml:space="preserve">levantních zdrojů, odbornost </w:t>
            </w:r>
            <w:r w:rsidR="00B411DB">
              <w:rPr>
                <w:sz w:val="22"/>
                <w:szCs w:val="22"/>
              </w:rPr>
              <w:br/>
            </w:r>
            <w:r w:rsidRPr="00C50B27">
              <w:rPr>
                <w:sz w:val="22"/>
                <w:szCs w:val="22"/>
              </w:rPr>
              <w:t>a aktuálnost zdrojů)</w:t>
            </w: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0E1E0B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Empirická část práce</w:t>
            </w: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Formulace výzkumného cíle (</w:t>
            </w:r>
            <w:r w:rsidR="00B411DB">
              <w:rPr>
                <w:sz w:val="22"/>
                <w:szCs w:val="22"/>
              </w:rPr>
              <w:t xml:space="preserve">náročnost, </w:t>
            </w:r>
            <w:r w:rsidRPr="00C50B27">
              <w:rPr>
                <w:sz w:val="22"/>
                <w:szCs w:val="22"/>
              </w:rPr>
              <w:t>srozumitelnost, aktuálnost)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0E1E0B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Metodika zpracování (druh výzkumu, výzkumný soubor, </w:t>
            </w:r>
            <w:r w:rsidR="00B411DB">
              <w:rPr>
                <w:sz w:val="22"/>
                <w:szCs w:val="22"/>
              </w:rPr>
              <w:t xml:space="preserve">použité </w:t>
            </w:r>
            <w:r w:rsidRPr="00C50B27">
              <w:rPr>
                <w:sz w:val="22"/>
                <w:szCs w:val="22"/>
              </w:rPr>
              <w:t>metody</w:t>
            </w:r>
            <w:r w:rsidR="00B411DB">
              <w:rPr>
                <w:sz w:val="22"/>
                <w:szCs w:val="22"/>
              </w:rPr>
              <w:t xml:space="preserve"> a techniky zpracování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255E36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855F24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0E1E0B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B411DB">
        <w:tc>
          <w:tcPr>
            <w:tcW w:w="9828" w:type="dxa"/>
            <w:gridSpan w:val="9"/>
            <w:shd w:val="clear" w:color="auto" w:fill="A6A6A6"/>
          </w:tcPr>
          <w:p w:rsidR="00B411DB" w:rsidRPr="00B411DB" w:rsidRDefault="00B411DB" w:rsidP="00B411DB">
            <w:pPr>
              <w:jc w:val="center"/>
              <w:rPr>
                <w:b/>
                <w:color w:val="FFFFFF"/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0E1E0B" w:rsidP="005146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0E1E0B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Spolupráce s vedoucím práce</w:t>
            </w:r>
          </w:p>
        </w:tc>
        <w:tc>
          <w:tcPr>
            <w:tcW w:w="507" w:type="dxa"/>
            <w:vAlign w:val="center"/>
          </w:tcPr>
          <w:p w:rsidR="00B411DB" w:rsidRPr="00C50B27" w:rsidRDefault="000E1E0B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Odůvodnění hodnocení práce (silné a slabé stránky práce):</w:t>
            </w: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Default="0013194C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Silnou stránkou práce je volba tématu. Hra má ve výchově dospělých neméně závažné postavení jako u dětí. </w:t>
            </w:r>
          </w:p>
          <w:p w:rsidR="0013194C" w:rsidRPr="00C50B27" w:rsidRDefault="0013194C" w:rsidP="00362AB0">
            <w:pPr>
              <w:rPr>
                <w:sz w:val="22"/>
                <w:szCs w:val="22"/>
              </w:rPr>
            </w:pPr>
          </w:p>
          <w:p w:rsidR="00B411DB" w:rsidRDefault="0013194C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Autorka optimálně využívá odborné </w:t>
            </w:r>
            <w:proofErr w:type="spellStart"/>
            <w:r>
              <w:rPr>
                <w:sz w:val="22"/>
                <w:szCs w:val="22"/>
              </w:rPr>
              <w:t>andragogické</w:t>
            </w:r>
            <w:proofErr w:type="spellEnd"/>
            <w:r>
              <w:rPr>
                <w:sz w:val="22"/>
                <w:szCs w:val="22"/>
              </w:rPr>
              <w:t xml:space="preserve"> literatury ke zpracování v teoretické části i jako východisko pro praktickou část.</w:t>
            </w:r>
          </w:p>
          <w:p w:rsidR="0013194C" w:rsidRDefault="0013194C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Její projev je kultivovaný a výzkum respektuje požadavky kladené na odborné zákonitosti zkoumání. </w:t>
            </w:r>
          </w:p>
          <w:p w:rsidR="00855F24" w:rsidRDefault="00855F24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Autorka prokazuje, že získala hluboké informace o problematice herních způsobů vzdělávání dospělých a dokázala je využít i pro doporučení ve zlepšování a používání této metody.</w:t>
            </w:r>
          </w:p>
          <w:p w:rsidR="00855F24" w:rsidRDefault="00855F24" w:rsidP="00362AB0">
            <w:pPr>
              <w:rPr>
                <w:sz w:val="22"/>
                <w:szCs w:val="22"/>
              </w:rPr>
            </w:pPr>
          </w:p>
          <w:p w:rsidR="00B411DB" w:rsidRPr="00C50B27" w:rsidRDefault="00855F24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Práci doporučuji k obhajobě a hodnotím ji celkovou známkou B.</w:t>
            </w: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Otázky k obhajobě:</w:t>
            </w: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Default="00855F24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Můžete srovnat význam hry jako edukační metody pro děti a dospělé?</w:t>
            </w:r>
          </w:p>
          <w:p w:rsidR="00855F24" w:rsidRDefault="00855F24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Jaký význam pro dospělé má hra obecně a následně i při výuce?</w:t>
            </w:r>
          </w:p>
          <w:p w:rsidR="00B411DB" w:rsidRPr="00C50B27" w:rsidRDefault="00855F24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Jaké vidíte nedostatky při používání hry jako výukové metody?</w:t>
            </w: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Celkové hodnocení</w:t>
            </w:r>
            <w:r w:rsidRPr="00C50B27"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08339C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4068" w:type="dxa"/>
            <w:gridSpan w:val="2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Datum:</w:t>
            </w:r>
            <w:r w:rsidR="0037153C">
              <w:rPr>
                <w:sz w:val="22"/>
                <w:szCs w:val="22"/>
              </w:rPr>
              <w:t xml:space="preserve"> 11</w:t>
            </w:r>
            <w:r w:rsidR="00C1276F">
              <w:rPr>
                <w:sz w:val="22"/>
                <w:szCs w:val="22"/>
              </w:rPr>
              <w:t>. 5. 2022</w:t>
            </w:r>
          </w:p>
        </w:tc>
        <w:tc>
          <w:tcPr>
            <w:tcW w:w="5760" w:type="dxa"/>
            <w:gridSpan w:val="7"/>
            <w:vAlign w:val="center"/>
          </w:tcPr>
          <w:p w:rsidR="00B411DB" w:rsidRPr="00C50B27" w:rsidRDefault="00B411DB" w:rsidP="00543245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Podpis:</w:t>
            </w:r>
            <w:r w:rsidR="00C1276F">
              <w:rPr>
                <w:sz w:val="22"/>
                <w:szCs w:val="22"/>
              </w:rPr>
              <w:t xml:space="preserve"> </w:t>
            </w:r>
            <w:r w:rsidR="005519D0">
              <w:rPr>
                <w:sz w:val="22"/>
                <w:szCs w:val="22"/>
              </w:rPr>
              <w:t>Jaroslav Balvín, v. r.</w:t>
            </w:r>
          </w:p>
        </w:tc>
      </w:tr>
    </w:tbl>
    <w:p w:rsidR="006847E2" w:rsidRDefault="006847E2"/>
    <w:sectPr w:rsidR="006847E2" w:rsidSect="00AE2D2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34390" w:rsidRDefault="00734390">
      <w:r>
        <w:separator/>
      </w:r>
    </w:p>
  </w:endnote>
  <w:endnote w:type="continuationSeparator" w:id="0">
    <w:p w:rsidR="00734390" w:rsidRDefault="0073439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34390" w:rsidRDefault="00734390">
      <w:r>
        <w:separator/>
      </w:r>
    </w:p>
  </w:footnote>
  <w:footnote w:type="continuationSeparator" w:id="0">
    <w:p w:rsidR="00734390" w:rsidRDefault="00734390">
      <w:r>
        <w:continuationSeparator/>
      </w:r>
    </w:p>
  </w:footnote>
  <w:footnote w:id="1">
    <w:p w:rsidR="00B411DB" w:rsidRDefault="00B411DB" w:rsidP="006847E2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attachedTemplate r:id="rId1"/>
  <w:stylePaneFormatFilter w:val="3F0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92487"/>
    <w:rsid w:val="0008339C"/>
    <w:rsid w:val="000867F2"/>
    <w:rsid w:val="000A101E"/>
    <w:rsid w:val="000E1E0B"/>
    <w:rsid w:val="000E2C47"/>
    <w:rsid w:val="00100D36"/>
    <w:rsid w:val="0013194C"/>
    <w:rsid w:val="001A5778"/>
    <w:rsid w:val="00255E36"/>
    <w:rsid w:val="00325610"/>
    <w:rsid w:val="00362AB0"/>
    <w:rsid w:val="0037153C"/>
    <w:rsid w:val="003F5DA2"/>
    <w:rsid w:val="00432226"/>
    <w:rsid w:val="004C29B4"/>
    <w:rsid w:val="004E00D8"/>
    <w:rsid w:val="00512982"/>
    <w:rsid w:val="00514664"/>
    <w:rsid w:val="00526D47"/>
    <w:rsid w:val="00543245"/>
    <w:rsid w:val="005519D0"/>
    <w:rsid w:val="0055255D"/>
    <w:rsid w:val="005C219A"/>
    <w:rsid w:val="006847E2"/>
    <w:rsid w:val="006D6855"/>
    <w:rsid w:val="00730C1A"/>
    <w:rsid w:val="00734390"/>
    <w:rsid w:val="00783B14"/>
    <w:rsid w:val="00792487"/>
    <w:rsid w:val="00834807"/>
    <w:rsid w:val="00855F24"/>
    <w:rsid w:val="008E4C27"/>
    <w:rsid w:val="009762A8"/>
    <w:rsid w:val="00A773A9"/>
    <w:rsid w:val="00AE2D2E"/>
    <w:rsid w:val="00B411DB"/>
    <w:rsid w:val="00B942C3"/>
    <w:rsid w:val="00BA3203"/>
    <w:rsid w:val="00C03D7D"/>
    <w:rsid w:val="00C1276F"/>
    <w:rsid w:val="00C50B27"/>
    <w:rsid w:val="00CA2442"/>
    <w:rsid w:val="00CC0541"/>
    <w:rsid w:val="00D3381E"/>
    <w:rsid w:val="00D62416"/>
    <w:rsid w:val="00D77762"/>
    <w:rsid w:val="00DC1BF5"/>
    <w:rsid w:val="00DC4A40"/>
    <w:rsid w:val="00DE3F9E"/>
    <w:rsid w:val="00E16E35"/>
    <w:rsid w:val="00E21F4C"/>
    <w:rsid w:val="00E709EA"/>
    <w:rsid w:val="00E87FCF"/>
    <w:rsid w:val="00EB4550"/>
    <w:rsid w:val="00EE69A4"/>
    <w:rsid w:val="00EF6A02"/>
    <w:rsid w:val="00F55BA4"/>
    <w:rsid w:val="00F622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6847E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6847E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poznpodarou">
    <w:name w:val="footnote text"/>
    <w:basedOn w:val="Normln"/>
    <w:semiHidden/>
    <w:rsid w:val="006847E2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6847E2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E:\BP%20a%20DP%202022\BP%20Soci&#225;ln&#237;%20pedagogika%202022\BP%20Posp&#237;&#353;ilov&#225;\POSUDEK%20VEDOUC&#205;HO%20BAKAL&#193;&#344;SK&#201;%20PR&#193;CE_2022.dotx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POSUDEK VEDOUCÍHO BAKALÁŘSKÉ PRÁCE_2022.dotx</Template>
  <TotalTime>49</TotalTime>
  <Pages>1</Pages>
  <Words>317</Words>
  <Characters>1876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POSUDEK VEDOUCÍHO BAKALÁŘSKÉ PRÁCE</vt:lpstr>
    </vt:vector>
  </TitlesOfParts>
  <Company>UNI UTB Zlín</Company>
  <LinksUpToDate>false</LinksUpToDate>
  <CharactersWithSpaces>2189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POSUDEK VEDOUCÍHO BAKALÁŘSKÉ PRÁCE</dc:title>
  <dc:creator>user</dc:creator>
  <cp:lastModifiedBy>user</cp:lastModifiedBy>
  <cp:revision>16</cp:revision>
  <cp:lastPrinted>2012-04-25T08:21:00Z</cp:lastPrinted>
  <dcterms:created xsi:type="dcterms:W3CDTF">2022-05-11T09:33:00Z</dcterms:created>
  <dcterms:modified xsi:type="dcterms:W3CDTF">2022-05-13T16:27:00Z</dcterms:modified>
</cp:coreProperties>
</file>