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3108E" w:rsidP="00362AB0">
            <w:pPr>
              <w:rPr>
                <w:sz w:val="22"/>
                <w:szCs w:val="22"/>
              </w:rPr>
            </w:pPr>
            <w:r>
              <w:rPr>
                <w:sz w:val="22"/>
                <w:szCs w:val="22"/>
              </w:rPr>
              <w:t>Lenka Haluzová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3108E" w:rsidP="00362AB0">
            <w:pPr>
              <w:rPr>
                <w:sz w:val="22"/>
                <w:szCs w:val="22"/>
              </w:rPr>
            </w:pPr>
            <w:r>
              <w:rPr>
                <w:sz w:val="22"/>
                <w:szCs w:val="22"/>
              </w:rPr>
              <w:t>Vliv sociálních sítí na rodinu žáků 1. stupně základních škol ve Zlínském kraji</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B3108E" w:rsidP="00362AB0">
            <w:pPr>
              <w:rPr>
                <w:sz w:val="22"/>
                <w:szCs w:val="22"/>
              </w:rPr>
            </w:pPr>
            <w:r>
              <w:rPr>
                <w:sz w:val="22"/>
                <w:szCs w:val="22"/>
              </w:rPr>
              <w:t xml:space="preserve">PhDr. </w:t>
            </w:r>
            <w:r w:rsidRPr="00B3108E">
              <w:rPr>
                <w:sz w:val="22"/>
                <w:szCs w:val="22"/>
              </w:rPr>
              <w:t>Helena Skarupská</w:t>
            </w:r>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B3108E"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B3108E"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B3108E"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C</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B3108E" w:rsidP="00362AB0">
            <w:pPr>
              <w:rPr>
                <w:sz w:val="22"/>
                <w:szCs w:val="22"/>
              </w:rPr>
            </w:pPr>
            <w:r>
              <w:rPr>
                <w:sz w:val="22"/>
                <w:szCs w:val="22"/>
              </w:rPr>
              <w:t>Autorka si vybrala zajímavé téma</w:t>
            </w:r>
            <w:r w:rsidRPr="007F66B0">
              <w:rPr>
                <w:sz w:val="22"/>
                <w:szCs w:val="22"/>
              </w:rPr>
              <w:t xml:space="preserve">. </w:t>
            </w:r>
            <w:r w:rsidR="007F66B0">
              <w:rPr>
                <w:sz w:val="22"/>
                <w:szCs w:val="22"/>
              </w:rPr>
              <w:t>Bohužel, k</w:t>
            </w:r>
            <w:r w:rsidR="007F66B0" w:rsidRPr="007F66B0">
              <w:rPr>
                <w:color w:val="212121"/>
                <w:sz w:val="22"/>
                <w:szCs w:val="22"/>
                <w:shd w:val="clear" w:color="auto" w:fill="FFFFFF"/>
              </w:rPr>
              <w:t xml:space="preserve">ontrola systému </w:t>
            </w:r>
            <w:proofErr w:type="spellStart"/>
            <w:r w:rsidR="007F66B0" w:rsidRPr="007F66B0">
              <w:rPr>
                <w:color w:val="212121"/>
                <w:sz w:val="22"/>
                <w:szCs w:val="22"/>
                <w:shd w:val="clear" w:color="auto" w:fill="FFFFFF"/>
              </w:rPr>
              <w:t>Theses</w:t>
            </w:r>
            <w:proofErr w:type="spellEnd"/>
            <w:r w:rsidR="007F66B0" w:rsidRPr="007F66B0">
              <w:rPr>
                <w:color w:val="212121"/>
                <w:sz w:val="22"/>
                <w:szCs w:val="22"/>
                <w:shd w:val="clear" w:color="auto" w:fill="FFFFFF"/>
              </w:rPr>
              <w:t xml:space="preserve"> ukázala řadu shod v teoretické části s jinými zdroji. Práce sice nebyla posouzena jako plagiát, avšak charakter shodných pasáží jednoznačně ukazuje na to, že teoretická část je zapracována prostřednictvím výňatků textů ze sekundárních zdrojů, čímž autorka nesplňuje nároky kladené na samostatnou analyticko-syntetickou práci</w:t>
            </w:r>
            <w:r w:rsidR="007F66B0" w:rsidRPr="007F66B0">
              <w:rPr>
                <w:color w:val="212121"/>
                <w:shd w:val="clear" w:color="auto" w:fill="FFFFFF"/>
              </w:rPr>
              <w:t>.</w:t>
            </w:r>
            <w:bookmarkStart w:id="0" w:name="_GoBack"/>
            <w:bookmarkEnd w:id="0"/>
            <w:r>
              <w:rPr>
                <w:sz w:val="22"/>
                <w:szCs w:val="22"/>
              </w:rPr>
              <w:t xml:space="preserve"> </w:t>
            </w:r>
          </w:p>
          <w:p w:rsidR="00B411DB" w:rsidRPr="00C50B27" w:rsidRDefault="00B3108E" w:rsidP="00362AB0">
            <w:pPr>
              <w:rPr>
                <w:sz w:val="22"/>
                <w:szCs w:val="22"/>
              </w:rPr>
            </w:pPr>
            <w:r>
              <w:rPr>
                <w:sz w:val="22"/>
                <w:szCs w:val="22"/>
              </w:rPr>
              <w:t xml:space="preserve">V praktické části formou dotazníků zjišťovala vztah dětí a rodičů k sociálním sítím. Zde je vlastní výzkum a samostatná interpretace dat. </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3108E" w:rsidP="00362AB0">
            <w:pPr>
              <w:rPr>
                <w:sz w:val="22"/>
                <w:szCs w:val="22"/>
              </w:rPr>
            </w:pPr>
            <w:r>
              <w:rPr>
                <w:sz w:val="22"/>
                <w:szCs w:val="22"/>
              </w:rPr>
              <w:t>Jak chcete uvedená doporučení pro praxi dostat do veřejnosti?</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B3108E">
              <w:rPr>
                <w:sz w:val="22"/>
                <w:szCs w:val="22"/>
              </w:rPr>
              <w:t xml:space="preserve"> 3. května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E1E" w:rsidRDefault="00E03E1E">
      <w:r>
        <w:separator/>
      </w:r>
    </w:p>
  </w:endnote>
  <w:endnote w:type="continuationSeparator" w:id="0">
    <w:p w:rsidR="00E03E1E" w:rsidRDefault="00E0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E1E" w:rsidRDefault="00E03E1E">
      <w:r>
        <w:separator/>
      </w:r>
    </w:p>
  </w:footnote>
  <w:footnote w:type="continuationSeparator" w:id="0">
    <w:p w:rsidR="00E03E1E" w:rsidRDefault="00E03E1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96"/>
    <w:rsid w:val="000E2C47"/>
    <w:rsid w:val="00362AB0"/>
    <w:rsid w:val="003D6096"/>
    <w:rsid w:val="003F5DA2"/>
    <w:rsid w:val="00512982"/>
    <w:rsid w:val="00514664"/>
    <w:rsid w:val="00526D47"/>
    <w:rsid w:val="0055255D"/>
    <w:rsid w:val="005C219A"/>
    <w:rsid w:val="005C7614"/>
    <w:rsid w:val="00663108"/>
    <w:rsid w:val="006847E2"/>
    <w:rsid w:val="00730C1A"/>
    <w:rsid w:val="007F66B0"/>
    <w:rsid w:val="00B3108E"/>
    <w:rsid w:val="00B411DB"/>
    <w:rsid w:val="00BA3203"/>
    <w:rsid w:val="00C03D7D"/>
    <w:rsid w:val="00C50B27"/>
    <w:rsid w:val="00D62416"/>
    <w:rsid w:val="00DC1BF5"/>
    <w:rsid w:val="00E03E1E"/>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A3716"/>
  <w15:chartTrackingRefBased/>
  <w15:docId w15:val="{802D912F-9BB7-41CD-BBB8-14EC70FD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riloha%20&#269;.%202_2-2019%20POSUDEK%20VEDOUC&#205;HO%20BAKAL&#193;&#344;SK&#201;%20PR&#193;CE_2015%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priloha č. 2_2-2019 POSUDEK VEDOUCÍHO BAKALÁŘSKÉ PRÁCE_2015 (1)</Template>
  <TotalTime>1</TotalTime>
  <Pages>1</Pages>
  <Words>288</Words>
  <Characters>1702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Helena Skarupská</dc:creator>
  <cp:keywords/>
  <cp:lastModifiedBy>Helena Skarupská</cp:lastModifiedBy>
  <cp:revision>3</cp:revision>
  <cp:lastPrinted>2012-04-25T08:21:00Z</cp:lastPrinted>
  <dcterms:created xsi:type="dcterms:W3CDTF">2019-05-03T08:17:00Z</dcterms:created>
  <dcterms:modified xsi:type="dcterms:W3CDTF">2019-05-03T08:25:00Z</dcterms:modified>
</cp:coreProperties>
</file>