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BF30FE" w:rsidTr="00BF30FE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BF30FE" w:rsidTr="00BF30F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3E1D2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Libor Neveselý</w:t>
            </w:r>
          </w:p>
        </w:tc>
      </w:tr>
      <w:tr w:rsidR="00BF30FE" w:rsidTr="00BF30F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3E1D26">
            <w:pPr>
              <w:spacing w:line="256" w:lineRule="auto"/>
              <w:rPr>
                <w:sz w:val="22"/>
                <w:szCs w:val="22"/>
              </w:rPr>
            </w:pPr>
            <w:r w:rsidRPr="003E1D26">
              <w:rPr>
                <w:bCs/>
              </w:rPr>
              <w:t xml:space="preserve">Profesní andragogika a její role ve </w:t>
            </w:r>
            <w:proofErr w:type="gramStart"/>
            <w:r w:rsidRPr="003E1D26">
              <w:rPr>
                <w:bCs/>
              </w:rPr>
              <w:t xml:space="preserve">vzdělávání </w:t>
            </w:r>
            <w:r w:rsidRPr="003E1D26">
              <w:t xml:space="preserve"> </w:t>
            </w:r>
            <w:r w:rsidRPr="003E1D26">
              <w:rPr>
                <w:bCs/>
              </w:rPr>
              <w:t>dospělých</w:t>
            </w:r>
            <w:proofErr w:type="gramEnd"/>
          </w:p>
        </w:tc>
      </w:tr>
      <w:tr w:rsidR="00BF30FE" w:rsidTr="00BF30F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3E1D2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Prof. PhDr.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 CSc.</w:t>
            </w:r>
          </w:p>
        </w:tc>
      </w:tr>
      <w:tr w:rsidR="00BF30FE" w:rsidTr="00BF30F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3E1D2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BF30FE" w:rsidTr="00BF30F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3E1D2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BF30FE" w:rsidTr="00BF30FE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30FE" w:rsidRDefault="00BF30FE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BF30FE" w:rsidRDefault="00BF30FE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BF30FE" w:rsidTr="00BF30F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BF30FE" w:rsidRDefault="00BF30FE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F30F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F30F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F30F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BF30FE" w:rsidRDefault="00BF30FE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A6C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F30F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BF30FE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F30FE" w:rsidRDefault="00CB112E">
            <w:pPr>
              <w:spacing w:line="256" w:lineRule="auto"/>
              <w:rPr>
                <w:sz w:val="22"/>
                <w:szCs w:val="22"/>
              </w:rPr>
            </w:pPr>
            <w:r w:rsidRPr="00CB112E">
              <w:rPr>
                <w:color w:val="222222"/>
                <w:sz w:val="22"/>
                <w:szCs w:val="22"/>
              </w:rPr>
              <w:t xml:space="preserve">Základní </w:t>
            </w:r>
            <w:r w:rsidRPr="00CB112E">
              <w:rPr>
                <w:color w:val="222222"/>
                <w:sz w:val="22"/>
                <w:szCs w:val="22"/>
              </w:rPr>
              <w:t>připomínku</w:t>
            </w:r>
            <w:r w:rsidRPr="00CB112E">
              <w:rPr>
                <w:color w:val="222222"/>
                <w:sz w:val="22"/>
                <w:szCs w:val="22"/>
              </w:rPr>
              <w:t xml:space="preserve"> mám k obsahovému zaměření </w:t>
            </w:r>
            <w:r w:rsidRPr="00CB112E">
              <w:rPr>
                <w:color w:val="222222"/>
                <w:sz w:val="22"/>
                <w:szCs w:val="22"/>
              </w:rPr>
              <w:t>závěrečné</w:t>
            </w:r>
            <w:r w:rsidRPr="00CB112E">
              <w:rPr>
                <w:color w:val="222222"/>
                <w:sz w:val="22"/>
                <w:szCs w:val="22"/>
              </w:rPr>
              <w:t xml:space="preserve"> práce, které nekoresponduje s jejím názvem. Autor se v práci (podle jejího názvu) měl or</w:t>
            </w:r>
            <w:r>
              <w:rPr>
                <w:color w:val="222222"/>
                <w:sz w:val="22"/>
                <w:szCs w:val="22"/>
              </w:rPr>
              <w:t>ientovat na profesní andragogiku</w:t>
            </w:r>
            <w:r w:rsidRPr="00CB112E">
              <w:rPr>
                <w:color w:val="222222"/>
                <w:sz w:val="22"/>
                <w:szCs w:val="22"/>
              </w:rPr>
              <w:t xml:space="preserve"> a její roli ve vzdělávání dospělých. Toto poslání nenaplnil. V teoretických východiscích se věnuje </w:t>
            </w:r>
            <w:r w:rsidRPr="00CB112E">
              <w:rPr>
                <w:color w:val="222222"/>
                <w:sz w:val="22"/>
                <w:szCs w:val="22"/>
              </w:rPr>
              <w:t>základním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222222"/>
                <w:sz w:val="22"/>
                <w:szCs w:val="22"/>
              </w:rPr>
              <w:t>andragogickým</w:t>
            </w:r>
            <w:proofErr w:type="spellEnd"/>
            <w:r>
              <w:rPr>
                <w:color w:val="222222"/>
                <w:sz w:val="22"/>
                <w:szCs w:val="22"/>
              </w:rPr>
              <w:t xml:space="preserve"> </w:t>
            </w:r>
            <w:r w:rsidRPr="00CB112E">
              <w:rPr>
                <w:color w:val="222222"/>
                <w:sz w:val="22"/>
                <w:szCs w:val="22"/>
              </w:rPr>
              <w:t>poznatkům, chybí vymezení předmětu profesní andragogiky (edukace dospělých - profesní vzdělávání, profes</w:t>
            </w:r>
            <w:r>
              <w:rPr>
                <w:color w:val="222222"/>
                <w:sz w:val="22"/>
                <w:szCs w:val="22"/>
              </w:rPr>
              <w:t>ní</w:t>
            </w:r>
            <w:r w:rsidRPr="00CB112E">
              <w:rPr>
                <w:color w:val="222222"/>
                <w:sz w:val="22"/>
                <w:szCs w:val="22"/>
              </w:rPr>
              <w:t xml:space="preserve"> výchova a profesní poradenství). Nejsou </w:t>
            </w:r>
            <w:r w:rsidRPr="00CB112E">
              <w:rPr>
                <w:color w:val="222222"/>
                <w:sz w:val="22"/>
                <w:szCs w:val="22"/>
              </w:rPr>
              <w:t>rozporcované</w:t>
            </w:r>
            <w:r w:rsidRPr="00CB112E">
              <w:rPr>
                <w:color w:val="222222"/>
                <w:sz w:val="22"/>
                <w:szCs w:val="22"/>
              </w:rPr>
              <w:t xml:space="preserve"> teoretická východiska dalšího profesního vzdělávání a jeho role v profesním životě dospělého, jeho předpoklady, funkce, </w:t>
            </w:r>
            <w:r w:rsidRPr="00CB112E">
              <w:rPr>
                <w:color w:val="222222"/>
                <w:sz w:val="22"/>
                <w:szCs w:val="22"/>
              </w:rPr>
              <w:t>po</w:t>
            </w:r>
            <w:r>
              <w:rPr>
                <w:color w:val="222222"/>
                <w:sz w:val="22"/>
                <w:szCs w:val="22"/>
              </w:rPr>
              <w:t xml:space="preserve">dstatní </w:t>
            </w:r>
            <w:r w:rsidRPr="00CB112E">
              <w:rPr>
                <w:color w:val="222222"/>
                <w:sz w:val="22"/>
                <w:szCs w:val="22"/>
              </w:rPr>
              <w:t>prvky</w:t>
            </w:r>
            <w:r w:rsidRPr="00CB112E">
              <w:rPr>
                <w:color w:val="222222"/>
                <w:sz w:val="22"/>
                <w:szCs w:val="22"/>
              </w:rPr>
              <w:t xml:space="preserve"> apod. navíc práce obsahuje některé </w:t>
            </w:r>
            <w:r w:rsidRPr="00CB112E">
              <w:rPr>
                <w:color w:val="222222"/>
                <w:sz w:val="22"/>
                <w:szCs w:val="22"/>
              </w:rPr>
              <w:t>nesprávné</w:t>
            </w:r>
            <w:r w:rsidRPr="00CB112E">
              <w:rPr>
                <w:color w:val="222222"/>
                <w:sz w:val="22"/>
                <w:szCs w:val="22"/>
              </w:rPr>
              <w:t xml:space="preserve"> tvrzení (např. na str. 12 "pojem další profesní vzdělávání bývá takové označování jako profesní andragogika").</w:t>
            </w:r>
            <w:r w:rsidRPr="00CB112E">
              <w:rPr>
                <w:color w:val="222222"/>
                <w:sz w:val="22"/>
                <w:szCs w:val="22"/>
              </w:rPr>
              <w:br/>
              <w:t xml:space="preserve">Empirická část má také řadu nedostatků. </w:t>
            </w:r>
            <w:r w:rsidRPr="00CB112E">
              <w:rPr>
                <w:color w:val="222222"/>
                <w:sz w:val="22"/>
                <w:szCs w:val="22"/>
              </w:rPr>
              <w:t>For</w:t>
            </w:r>
            <w:r>
              <w:rPr>
                <w:color w:val="222222"/>
                <w:sz w:val="22"/>
                <w:szCs w:val="22"/>
              </w:rPr>
              <w:t>mulace</w:t>
            </w:r>
            <w:r w:rsidRPr="00CB112E">
              <w:rPr>
                <w:color w:val="222222"/>
                <w:sz w:val="22"/>
                <w:szCs w:val="22"/>
              </w:rPr>
              <w:t xml:space="preserve"> výzkumných otázek je popisného charakteru, neobjevuje se v</w:t>
            </w:r>
            <w:r>
              <w:rPr>
                <w:color w:val="222222"/>
                <w:sz w:val="22"/>
                <w:szCs w:val="22"/>
              </w:rPr>
              <w:t xml:space="preserve"> nich vztahová výzkumná otázka, např. z</w:t>
            </w:r>
            <w:r w:rsidRPr="00CB112E">
              <w:rPr>
                <w:color w:val="222222"/>
                <w:sz w:val="22"/>
                <w:szCs w:val="22"/>
              </w:rPr>
              <w:t>da má pohlaví vliv na schopnost pracovat s počítačem, přesto autor stanovil v tomto smyslu H2. Není jasné na jakém základě.</w:t>
            </w:r>
            <w:r w:rsidRPr="00CB112E">
              <w:rPr>
                <w:color w:val="222222"/>
                <w:sz w:val="22"/>
                <w:szCs w:val="22"/>
              </w:rPr>
              <w:br/>
              <w:t xml:space="preserve">Na str. 84 např. konstatuje, že "kvalita dovedností při práci s počítačem není u mužů větší než u žen", přitom předmětem jeho zkoumání byly názory respondentů čili jejich sebehodnocení. Takže nelze použít </w:t>
            </w:r>
            <w:r w:rsidRPr="00CB112E">
              <w:rPr>
                <w:color w:val="222222"/>
                <w:sz w:val="22"/>
                <w:szCs w:val="22"/>
              </w:rPr>
              <w:t>uvedené</w:t>
            </w:r>
            <w:r w:rsidRPr="00CB112E">
              <w:rPr>
                <w:color w:val="222222"/>
                <w:sz w:val="22"/>
                <w:szCs w:val="22"/>
              </w:rPr>
              <w:t xml:space="preserve"> obecné konstatování, ale uvést, že je to v návaznosti </w:t>
            </w:r>
            <w:r w:rsidRPr="00CB112E">
              <w:rPr>
                <w:color w:val="222222"/>
                <w:sz w:val="22"/>
                <w:szCs w:val="22"/>
              </w:rPr>
              <w:t>sebehodn</w:t>
            </w:r>
            <w:r>
              <w:rPr>
                <w:color w:val="222222"/>
                <w:sz w:val="22"/>
                <w:szCs w:val="22"/>
              </w:rPr>
              <w:t>ocení</w:t>
            </w:r>
            <w:r w:rsidRPr="00CB112E">
              <w:rPr>
                <w:color w:val="222222"/>
                <w:sz w:val="22"/>
                <w:szCs w:val="22"/>
              </w:rPr>
              <w:t>.</w:t>
            </w:r>
            <w:r w:rsidRPr="00CB112E">
              <w:rPr>
                <w:color w:val="222222"/>
                <w:sz w:val="22"/>
                <w:szCs w:val="22"/>
              </w:rPr>
              <w:br/>
              <w:t>Celkově lze konstatovat, že empirická část je zpracována povrchně.</w:t>
            </w:r>
          </w:p>
        </w:tc>
      </w:tr>
      <w:tr w:rsidR="00BF30FE" w:rsidTr="00BF30FE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BF30FE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BF30FE" w:rsidRDefault="00CB112E" w:rsidP="00CB112E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Vysvětlete předmět zkoumaní profesní andragogiky a její úkoly ve vzdělávání dospělých.</w:t>
            </w:r>
          </w:p>
          <w:p w:rsidR="00BF30FE" w:rsidRPr="00CB112E" w:rsidRDefault="00CB112E" w:rsidP="00CB112E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systém vzdělávání mají ve Vámi zkoumané organizaci?</w:t>
            </w:r>
          </w:p>
        </w:tc>
      </w:tr>
      <w:tr w:rsidR="00BF30FE" w:rsidTr="00CB112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30FE" w:rsidRDefault="00BF30FE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BF30FE" w:rsidTr="00BF30FE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30FE" w:rsidRDefault="00BF30F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BF30FE" w:rsidRDefault="00BF30FE" w:rsidP="00BF30FE"/>
    <w:p w:rsidR="00BF30FE" w:rsidRDefault="00BF30FE" w:rsidP="00BF30FE"/>
    <w:p w:rsidR="003E1D26" w:rsidRDefault="003E1D26" w:rsidP="003E1D26">
      <w:pPr>
        <w:pStyle w:val="Default"/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82"/>
      </w:tblGrid>
      <w:tr w:rsidR="003E1D26" w:rsidRPr="003E1D26">
        <w:tblPrEx>
          <w:tblCellMar>
            <w:top w:w="0" w:type="dxa"/>
            <w:bottom w:w="0" w:type="dxa"/>
          </w:tblCellMar>
        </w:tblPrEx>
        <w:trPr>
          <w:trHeight w:val="632"/>
        </w:trPr>
        <w:tc>
          <w:tcPr>
            <w:tcW w:w="8782" w:type="dxa"/>
          </w:tcPr>
          <w:p w:rsidR="003E1D26" w:rsidRPr="003E1D26" w:rsidRDefault="003E1D26">
            <w:pPr>
              <w:pStyle w:val="Default"/>
              <w:rPr>
                <w:rFonts w:ascii="Times New Roman" w:hAnsi="Times New Roman" w:cs="Times New Roman"/>
              </w:rPr>
            </w:pPr>
            <w:r w:rsidRPr="003E1D2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3E1D26">
              <w:rPr>
                <w:rFonts w:ascii="Times New Roman" w:hAnsi="Times New Roman" w:cs="Times New Roman"/>
                <w:bCs/>
              </w:rPr>
              <w:t>Profesní</w:t>
            </w:r>
            <w:proofErr w:type="spellEnd"/>
            <w:r w:rsidRPr="003E1D26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Pr="003E1D26">
              <w:rPr>
                <w:rFonts w:ascii="Times New Roman" w:hAnsi="Times New Roman" w:cs="Times New Roman"/>
                <w:bCs/>
              </w:rPr>
              <w:t>andragogika</w:t>
            </w:r>
            <w:proofErr w:type="spellEnd"/>
            <w:r w:rsidRPr="003E1D26">
              <w:rPr>
                <w:rFonts w:ascii="Times New Roman" w:hAnsi="Times New Roman" w:cs="Times New Roman"/>
                <w:bCs/>
              </w:rPr>
              <w:t xml:space="preserve"> a </w:t>
            </w:r>
            <w:proofErr w:type="spellStart"/>
            <w:r w:rsidRPr="003E1D26">
              <w:rPr>
                <w:rFonts w:ascii="Times New Roman" w:hAnsi="Times New Roman" w:cs="Times New Roman"/>
                <w:bCs/>
              </w:rPr>
              <w:t>její</w:t>
            </w:r>
            <w:proofErr w:type="spellEnd"/>
            <w:r w:rsidRPr="003E1D26">
              <w:rPr>
                <w:rFonts w:ascii="Times New Roman" w:hAnsi="Times New Roman" w:cs="Times New Roman"/>
                <w:bCs/>
              </w:rPr>
              <w:t xml:space="preserve"> role </w:t>
            </w:r>
            <w:proofErr w:type="spellStart"/>
            <w:r w:rsidRPr="003E1D26">
              <w:rPr>
                <w:rFonts w:ascii="Times New Roman" w:hAnsi="Times New Roman" w:cs="Times New Roman"/>
                <w:bCs/>
              </w:rPr>
              <w:t>ve</w:t>
            </w:r>
            <w:proofErr w:type="spellEnd"/>
            <w:r w:rsidRPr="003E1D26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Pr="003E1D26">
              <w:rPr>
                <w:rFonts w:ascii="Times New Roman" w:hAnsi="Times New Roman" w:cs="Times New Roman"/>
                <w:bCs/>
              </w:rPr>
              <w:t>vzdělávání</w:t>
            </w:r>
            <w:proofErr w:type="spellEnd"/>
            <w:r w:rsidRPr="003E1D26">
              <w:rPr>
                <w:rFonts w:ascii="Times New Roman" w:hAnsi="Times New Roman" w:cs="Times New Roman"/>
                <w:bCs/>
              </w:rPr>
              <w:t xml:space="preserve"> </w:t>
            </w:r>
            <w:r w:rsidRPr="003E1D2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3E1D26">
              <w:rPr>
                <w:rFonts w:ascii="Times New Roman" w:hAnsi="Times New Roman" w:cs="Times New Roman"/>
                <w:bCs/>
              </w:rPr>
              <w:t>dospělých</w:t>
            </w:r>
            <w:proofErr w:type="spellEnd"/>
            <w:r w:rsidRPr="003E1D26">
              <w:rPr>
                <w:rFonts w:ascii="Times New Roman" w:hAnsi="Times New Roman" w:cs="Times New Roman"/>
                <w:bCs/>
              </w:rPr>
              <w:t xml:space="preserve"> </w:t>
            </w:r>
            <w:bookmarkStart w:id="0" w:name="_GoBack"/>
            <w:bookmarkEnd w:id="0"/>
          </w:p>
        </w:tc>
      </w:tr>
      <w:tr w:rsidR="003E1D26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8782" w:type="dxa"/>
          </w:tcPr>
          <w:p w:rsidR="003E1D26" w:rsidRPr="003E1D26" w:rsidRDefault="003E1D26">
            <w:pPr>
              <w:pStyle w:val="Default"/>
              <w:rPr>
                <w:rFonts w:ascii="Times New Roman" w:hAnsi="Times New Roman" w:cs="Times New Roman"/>
              </w:rPr>
            </w:pPr>
            <w:r w:rsidRPr="003E1D26">
              <w:rPr>
                <w:rFonts w:ascii="Times New Roman" w:hAnsi="Times New Roman" w:cs="Times New Roman"/>
              </w:rPr>
              <w:t xml:space="preserve">Libor Neveselý </w:t>
            </w:r>
          </w:p>
        </w:tc>
      </w:tr>
      <w:tr w:rsidR="003E1D26">
        <w:tblPrEx>
          <w:tblCellMar>
            <w:top w:w="0" w:type="dxa"/>
            <w:bottom w:w="0" w:type="dxa"/>
          </w:tblCellMar>
        </w:tblPrEx>
        <w:trPr>
          <w:trHeight w:val="149"/>
        </w:trPr>
        <w:tc>
          <w:tcPr>
            <w:tcW w:w="8782" w:type="dxa"/>
          </w:tcPr>
          <w:p w:rsidR="003E1D26" w:rsidRDefault="003E1D26">
            <w:pPr>
              <w:pStyle w:val="Default"/>
              <w:rPr>
                <w:sz w:val="32"/>
                <w:szCs w:val="32"/>
              </w:rPr>
            </w:pPr>
          </w:p>
        </w:tc>
      </w:tr>
    </w:tbl>
    <w:p w:rsidR="00406B73" w:rsidRDefault="00406B73"/>
    <w:sectPr w:rsidR="00406B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0FE" w:rsidRDefault="00BF30FE" w:rsidP="00BF30FE">
      <w:r>
        <w:separator/>
      </w:r>
    </w:p>
  </w:endnote>
  <w:endnote w:type="continuationSeparator" w:id="0">
    <w:p w:rsidR="00BF30FE" w:rsidRDefault="00BF30FE" w:rsidP="00BF3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0FE" w:rsidRDefault="00BF30FE" w:rsidP="00BF30FE">
      <w:r>
        <w:separator/>
      </w:r>
    </w:p>
  </w:footnote>
  <w:footnote w:type="continuationSeparator" w:id="0">
    <w:p w:rsidR="00BF30FE" w:rsidRDefault="00BF30FE" w:rsidP="00BF30FE">
      <w:r>
        <w:continuationSeparator/>
      </w:r>
    </w:p>
  </w:footnote>
  <w:footnote w:id="1">
    <w:p w:rsidR="00BF30FE" w:rsidRDefault="00BF30FE" w:rsidP="00BF30FE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125C7C"/>
    <w:multiLevelType w:val="hybridMultilevel"/>
    <w:tmpl w:val="B82E3570"/>
    <w:lvl w:ilvl="0" w:tplc="99EC84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0FE"/>
    <w:rsid w:val="003E1D26"/>
    <w:rsid w:val="00406B73"/>
    <w:rsid w:val="007D1C10"/>
    <w:rsid w:val="00BA6CBE"/>
    <w:rsid w:val="00BF30FE"/>
    <w:rsid w:val="00CB112E"/>
    <w:rsid w:val="00F91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616A18-A486-45C2-B1CA-2F1B7577D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30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BF30F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F30FE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BF30FE"/>
    <w:rPr>
      <w:vertAlign w:val="superscript"/>
    </w:rPr>
  </w:style>
  <w:style w:type="paragraph" w:customStyle="1" w:styleId="Default">
    <w:name w:val="Default"/>
    <w:rsid w:val="003E1D2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B11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92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3</cp:revision>
  <dcterms:created xsi:type="dcterms:W3CDTF">2015-06-01T06:15:00Z</dcterms:created>
  <dcterms:modified xsi:type="dcterms:W3CDTF">2015-06-01T07:42:00Z</dcterms:modified>
</cp:coreProperties>
</file>