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0" w:type="dxa"/>
        <w:tblInd w:w="-8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3"/>
        <w:gridCol w:w="720"/>
        <w:gridCol w:w="2723"/>
        <w:gridCol w:w="507"/>
        <w:gridCol w:w="506"/>
        <w:gridCol w:w="506"/>
        <w:gridCol w:w="507"/>
        <w:gridCol w:w="506"/>
        <w:gridCol w:w="562"/>
      </w:tblGrid>
      <w:tr w:rsidR="006847E2" w:rsidRPr="00057E12" w14:paraId="621207E9" w14:textId="77777777" w:rsidTr="00CF4E4A">
        <w:tc>
          <w:tcPr>
            <w:tcW w:w="10710" w:type="dxa"/>
            <w:gridSpan w:val="9"/>
          </w:tcPr>
          <w:p w14:paraId="20EDE90B" w14:textId="2FD5217B" w:rsidR="006847E2" w:rsidRPr="00057E12" w:rsidRDefault="002669DD" w:rsidP="003003E8">
            <w:pPr>
              <w:jc w:val="center"/>
              <w:rPr>
                <w:lang w:val="en-US"/>
              </w:rPr>
            </w:pPr>
            <w:r w:rsidRPr="00057E12">
              <w:rPr>
                <w:b/>
                <w:lang w:val="en-US"/>
              </w:rPr>
              <w:t>SUPERVISOR’S ASSESSMENT OF BACHELOR’S THESIS</w:t>
            </w:r>
          </w:p>
        </w:tc>
      </w:tr>
      <w:tr w:rsidR="006847E2" w:rsidRPr="00057E12" w14:paraId="58A03583" w14:textId="77777777" w:rsidTr="00CF4E4A">
        <w:tc>
          <w:tcPr>
            <w:tcW w:w="4173" w:type="dxa"/>
          </w:tcPr>
          <w:p w14:paraId="68C66955" w14:textId="77777777" w:rsidR="006847E2" w:rsidRPr="00057E12" w:rsidRDefault="00967103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Student’s</w:t>
            </w:r>
            <w:r w:rsidR="003043DF" w:rsidRPr="00057E12">
              <w:rPr>
                <w:lang w:val="en-US"/>
              </w:rPr>
              <w:t xml:space="preserve"> </w:t>
            </w:r>
            <w:r w:rsidR="009875B9" w:rsidRPr="00057E12">
              <w:rPr>
                <w:lang w:val="en-US"/>
              </w:rPr>
              <w:t xml:space="preserve">full </w:t>
            </w:r>
            <w:r w:rsidR="00836F0C" w:rsidRPr="00057E12">
              <w:rPr>
                <w:lang w:val="en-US"/>
              </w:rPr>
              <w:t>n</w:t>
            </w:r>
            <w:r w:rsidR="003043DF" w:rsidRPr="00057E12">
              <w:rPr>
                <w:lang w:val="en-US"/>
              </w:rPr>
              <w:t xml:space="preserve">ame </w:t>
            </w:r>
          </w:p>
        </w:tc>
        <w:tc>
          <w:tcPr>
            <w:tcW w:w="6537" w:type="dxa"/>
            <w:gridSpan w:val="8"/>
          </w:tcPr>
          <w:p w14:paraId="1EC3CD1B" w14:textId="3FF742B1" w:rsidR="006847E2" w:rsidRPr="00057E12" w:rsidRDefault="00DC1432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Tereza Horehleďová</w:t>
            </w:r>
          </w:p>
        </w:tc>
      </w:tr>
      <w:tr w:rsidR="006847E2" w:rsidRPr="00057E12" w14:paraId="136AC587" w14:textId="77777777" w:rsidTr="00CF4E4A">
        <w:tc>
          <w:tcPr>
            <w:tcW w:w="4173" w:type="dxa"/>
          </w:tcPr>
          <w:p w14:paraId="1531BEFB" w14:textId="77777777" w:rsidR="006847E2" w:rsidRPr="00057E12" w:rsidRDefault="00146DE3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 xml:space="preserve">Thesis </w:t>
            </w:r>
            <w:r w:rsidR="009875B9" w:rsidRPr="00057E12">
              <w:rPr>
                <w:lang w:val="en-US"/>
              </w:rPr>
              <w:t>title</w:t>
            </w:r>
          </w:p>
        </w:tc>
        <w:tc>
          <w:tcPr>
            <w:tcW w:w="6537" w:type="dxa"/>
            <w:gridSpan w:val="8"/>
          </w:tcPr>
          <w:p w14:paraId="3078553D" w14:textId="1B18F53C" w:rsidR="006847E2" w:rsidRPr="00057E12" w:rsidRDefault="00DC1432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 xml:space="preserve">Narrative Perspective in Tamsyn Muir's Science Fantasy Fiction Series </w:t>
            </w:r>
            <w:r w:rsidRPr="00057E12">
              <w:rPr>
                <w:i/>
                <w:iCs/>
                <w:lang w:val="en-US"/>
              </w:rPr>
              <w:t>The Locked Tomb</w:t>
            </w:r>
          </w:p>
        </w:tc>
      </w:tr>
      <w:tr w:rsidR="006847E2" w:rsidRPr="00057E12" w14:paraId="212111AA" w14:textId="77777777" w:rsidTr="00CF4E4A">
        <w:tc>
          <w:tcPr>
            <w:tcW w:w="4173" w:type="dxa"/>
          </w:tcPr>
          <w:p w14:paraId="022880A6" w14:textId="42244762" w:rsidR="006847E2" w:rsidRPr="00057E12" w:rsidRDefault="002669DD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Supervisor</w:t>
            </w:r>
            <w:r w:rsidR="003003E8" w:rsidRPr="00057E12">
              <w:rPr>
                <w:lang w:val="en-US"/>
              </w:rPr>
              <w:t>’s</w:t>
            </w:r>
            <w:r w:rsidR="009875B9" w:rsidRPr="00057E12">
              <w:rPr>
                <w:lang w:val="en-US"/>
              </w:rPr>
              <w:t xml:space="preserve"> name</w:t>
            </w:r>
          </w:p>
        </w:tc>
        <w:tc>
          <w:tcPr>
            <w:tcW w:w="6537" w:type="dxa"/>
            <w:gridSpan w:val="8"/>
          </w:tcPr>
          <w:p w14:paraId="66DC010C" w14:textId="658E43A8" w:rsidR="006847E2" w:rsidRPr="00057E12" w:rsidRDefault="00EB531E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Daniel Sampey, MFA</w:t>
            </w:r>
          </w:p>
        </w:tc>
      </w:tr>
      <w:tr w:rsidR="006847E2" w:rsidRPr="00057E12" w14:paraId="0854972B" w14:textId="77777777" w:rsidTr="00CF4E4A">
        <w:tc>
          <w:tcPr>
            <w:tcW w:w="4173" w:type="dxa"/>
          </w:tcPr>
          <w:p w14:paraId="0CAF6B3F" w14:textId="77777777" w:rsidR="006847E2" w:rsidRPr="00057E12" w:rsidRDefault="009875B9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Degree course</w:t>
            </w:r>
          </w:p>
        </w:tc>
        <w:tc>
          <w:tcPr>
            <w:tcW w:w="6537" w:type="dxa"/>
            <w:gridSpan w:val="8"/>
          </w:tcPr>
          <w:p w14:paraId="40B2041D" w14:textId="77777777" w:rsidR="006847E2" w:rsidRPr="00057E12" w:rsidRDefault="00CD4F89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English for Business Administration</w:t>
            </w:r>
          </w:p>
        </w:tc>
      </w:tr>
      <w:tr w:rsidR="006847E2" w:rsidRPr="00057E12" w14:paraId="256BE251" w14:textId="77777777" w:rsidTr="00CF4E4A">
        <w:tc>
          <w:tcPr>
            <w:tcW w:w="4173" w:type="dxa"/>
          </w:tcPr>
          <w:p w14:paraId="3037FCCD" w14:textId="77777777" w:rsidR="006847E2" w:rsidRPr="00057E12" w:rsidRDefault="009875B9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Mode</w:t>
            </w:r>
            <w:r w:rsidR="005B053C" w:rsidRPr="00057E12">
              <w:rPr>
                <w:lang w:val="en-US"/>
              </w:rPr>
              <w:t xml:space="preserve"> of </w:t>
            </w:r>
            <w:r w:rsidR="00836F0C" w:rsidRPr="00057E12">
              <w:rPr>
                <w:lang w:val="en-US"/>
              </w:rPr>
              <w:t>s</w:t>
            </w:r>
            <w:r w:rsidR="005B053C" w:rsidRPr="00057E12">
              <w:rPr>
                <w:lang w:val="en-US"/>
              </w:rPr>
              <w:t>tudy</w:t>
            </w:r>
          </w:p>
        </w:tc>
        <w:tc>
          <w:tcPr>
            <w:tcW w:w="6537" w:type="dxa"/>
            <w:gridSpan w:val="8"/>
          </w:tcPr>
          <w:p w14:paraId="6EEA1671" w14:textId="77777777" w:rsidR="006847E2" w:rsidRPr="00057E12" w:rsidRDefault="00CD4F89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Full-time</w:t>
            </w:r>
          </w:p>
        </w:tc>
      </w:tr>
      <w:tr w:rsidR="006847E2" w:rsidRPr="00057E12" w14:paraId="07F75229" w14:textId="77777777" w:rsidTr="00CF4E4A">
        <w:tc>
          <w:tcPr>
            <w:tcW w:w="4173" w:type="dxa"/>
            <w:vAlign w:val="center"/>
          </w:tcPr>
          <w:p w14:paraId="36D5FB3E" w14:textId="77777777" w:rsidR="006847E2" w:rsidRPr="00057E12" w:rsidRDefault="009875B9" w:rsidP="00362AB0">
            <w:pPr>
              <w:rPr>
                <w:b/>
                <w:lang w:val="en-US"/>
              </w:rPr>
            </w:pPr>
            <w:r w:rsidRPr="00057E12">
              <w:rPr>
                <w:b/>
                <w:lang w:val="en-US"/>
              </w:rPr>
              <w:t>Thesis</w:t>
            </w:r>
            <w:r w:rsidR="00073326" w:rsidRPr="00057E12">
              <w:rPr>
                <w:b/>
                <w:lang w:val="en-US"/>
              </w:rPr>
              <w:t xml:space="preserve"> </w:t>
            </w:r>
            <w:r w:rsidR="00836F0C" w:rsidRPr="00057E12">
              <w:rPr>
                <w:b/>
                <w:lang w:val="en-US"/>
              </w:rPr>
              <w:t>e</w:t>
            </w:r>
            <w:r w:rsidR="00073326" w:rsidRPr="00057E12">
              <w:rPr>
                <w:b/>
                <w:lang w:val="en-US"/>
              </w:rPr>
              <w:t xml:space="preserve">valuation </w:t>
            </w:r>
            <w:r w:rsidR="00836F0C" w:rsidRPr="00057E12">
              <w:rPr>
                <w:b/>
                <w:lang w:val="en-US"/>
              </w:rPr>
              <w:t>c</w:t>
            </w:r>
            <w:r w:rsidR="00073326" w:rsidRPr="00057E12">
              <w:rPr>
                <w:b/>
                <w:lang w:val="en-US"/>
              </w:rPr>
              <w:t>riteria</w:t>
            </w:r>
          </w:p>
        </w:tc>
        <w:tc>
          <w:tcPr>
            <w:tcW w:w="6537" w:type="dxa"/>
            <w:gridSpan w:val="8"/>
          </w:tcPr>
          <w:p w14:paraId="4A144DBE" w14:textId="77777777" w:rsidR="006847E2" w:rsidRPr="00057E12" w:rsidRDefault="00073326" w:rsidP="00AD2438">
            <w:pPr>
              <w:jc w:val="right"/>
              <w:rPr>
                <w:lang w:val="en-US"/>
              </w:rPr>
            </w:pPr>
            <w:r w:rsidRPr="00057E12">
              <w:rPr>
                <w:b/>
                <w:lang w:val="en-US"/>
              </w:rPr>
              <w:t xml:space="preserve">Classification grade according to </w:t>
            </w:r>
            <w:r w:rsidR="006847E2" w:rsidRPr="00057E12">
              <w:rPr>
                <w:b/>
                <w:lang w:val="en-US"/>
              </w:rPr>
              <w:t>ECTS</w:t>
            </w:r>
            <w:r w:rsidRPr="00057E12">
              <w:rPr>
                <w:b/>
                <w:lang w:val="en-US"/>
              </w:rPr>
              <w:t xml:space="preserve"> </w:t>
            </w:r>
          </w:p>
        </w:tc>
      </w:tr>
      <w:tr w:rsidR="006847E2" w:rsidRPr="00057E12" w14:paraId="43FF0536" w14:textId="77777777" w:rsidTr="00CF4E4A">
        <w:tc>
          <w:tcPr>
            <w:tcW w:w="10710" w:type="dxa"/>
            <w:gridSpan w:val="9"/>
            <w:shd w:val="clear" w:color="auto" w:fill="A6A6A6"/>
          </w:tcPr>
          <w:p w14:paraId="3617A418" w14:textId="77777777" w:rsidR="006847E2" w:rsidRPr="00057E12" w:rsidRDefault="00401253" w:rsidP="00362AB0">
            <w:pPr>
              <w:rPr>
                <w:color w:val="FFFFFF"/>
                <w:lang w:val="en-US"/>
              </w:rPr>
            </w:pPr>
            <w:r w:rsidRPr="00057E12">
              <w:rPr>
                <w:b/>
                <w:color w:val="FFFFFF"/>
                <w:lang w:val="en-US"/>
              </w:rPr>
              <w:t>Structure</w:t>
            </w:r>
          </w:p>
        </w:tc>
      </w:tr>
      <w:tr w:rsidR="006847E2" w:rsidRPr="00057E12" w14:paraId="4E6712BC" w14:textId="77777777" w:rsidTr="00CF4E4A">
        <w:tc>
          <w:tcPr>
            <w:tcW w:w="7616" w:type="dxa"/>
            <w:gridSpan w:val="3"/>
          </w:tcPr>
          <w:p w14:paraId="2977AFF3" w14:textId="23690906" w:rsidR="006847E2" w:rsidRPr="00057E12" w:rsidRDefault="00F0194B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Overall clarity and structure</w:t>
            </w:r>
            <w:r w:rsidR="004D0C4A" w:rsidRPr="00057E12">
              <w:rPr>
                <w:lang w:val="en-US"/>
              </w:rPr>
              <w:t xml:space="preserve"> of </w:t>
            </w:r>
            <w:r w:rsidRPr="00057E12">
              <w:rPr>
                <w:lang w:val="en-US"/>
              </w:rPr>
              <w:t xml:space="preserve">the </w:t>
            </w:r>
            <w:r w:rsidR="004D0C4A" w:rsidRPr="00057E12">
              <w:rPr>
                <w:lang w:val="en-US"/>
              </w:rPr>
              <w:t>work</w:t>
            </w:r>
          </w:p>
        </w:tc>
        <w:tc>
          <w:tcPr>
            <w:tcW w:w="507" w:type="dxa"/>
          </w:tcPr>
          <w:p w14:paraId="6FA5D41E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7C770BE" w14:textId="2E6AEE86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93D0DF4" w14:textId="4816D15E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64D16D1" w14:textId="25123F65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6712D37" w14:textId="0E887C39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0EE04FEE" w14:textId="78DB4239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6F4C7682" w14:textId="77777777" w:rsidTr="00CF4E4A">
        <w:tc>
          <w:tcPr>
            <w:tcW w:w="7616" w:type="dxa"/>
            <w:gridSpan w:val="3"/>
          </w:tcPr>
          <w:p w14:paraId="634695C1" w14:textId="77777777" w:rsidR="006847E2" w:rsidRPr="00057E12" w:rsidRDefault="00836F0C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Language level</w:t>
            </w:r>
          </w:p>
        </w:tc>
        <w:tc>
          <w:tcPr>
            <w:tcW w:w="507" w:type="dxa"/>
          </w:tcPr>
          <w:p w14:paraId="25EBF6B0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68639527" w14:textId="5A87734E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F5DE37E" w14:textId="73A34B2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5FED28F2" w14:textId="05DFBEB1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848B364" w14:textId="22DFFC53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0816D740" w14:textId="05B8F01B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0E084194" w14:textId="77777777" w:rsidTr="00CF4E4A">
        <w:tc>
          <w:tcPr>
            <w:tcW w:w="7616" w:type="dxa"/>
            <w:gridSpan w:val="3"/>
          </w:tcPr>
          <w:p w14:paraId="636B4545" w14:textId="3A5EBB01" w:rsidR="006847E2" w:rsidRPr="00057E12" w:rsidRDefault="00EF0A47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 xml:space="preserve">Compliance with citation </w:t>
            </w:r>
            <w:r w:rsidR="00CB633A" w:rsidRPr="00057E12">
              <w:rPr>
                <w:lang w:val="en-US"/>
              </w:rPr>
              <w:t xml:space="preserve">and formatting </w:t>
            </w:r>
            <w:r w:rsidR="00D778DD" w:rsidRPr="00057E12">
              <w:rPr>
                <w:lang w:val="en-US"/>
              </w:rPr>
              <w:t>norms</w:t>
            </w:r>
          </w:p>
        </w:tc>
        <w:tc>
          <w:tcPr>
            <w:tcW w:w="507" w:type="dxa"/>
          </w:tcPr>
          <w:p w14:paraId="254D6593" w14:textId="195F6AA7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53E7565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682A77FC" w14:textId="728F98C3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049E5A6" w14:textId="31E67E7F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DFBE8BE" w14:textId="07B12509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741CC040" w14:textId="7C8B510C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3E2FF2C0" w14:textId="77777777" w:rsidTr="00CF4E4A">
        <w:tc>
          <w:tcPr>
            <w:tcW w:w="10710" w:type="dxa"/>
            <w:gridSpan w:val="9"/>
            <w:shd w:val="clear" w:color="auto" w:fill="A6A6A6"/>
          </w:tcPr>
          <w:p w14:paraId="6DC874A6" w14:textId="77777777" w:rsidR="006847E2" w:rsidRPr="00057E12" w:rsidRDefault="00836F0C" w:rsidP="00362AB0">
            <w:pPr>
              <w:rPr>
                <w:lang w:val="en-US"/>
              </w:rPr>
            </w:pPr>
            <w:r w:rsidRPr="00057E12">
              <w:rPr>
                <w:b/>
                <w:color w:val="FFFFFF"/>
                <w:lang w:val="en-US"/>
              </w:rPr>
              <w:t>Content</w:t>
            </w:r>
          </w:p>
        </w:tc>
      </w:tr>
      <w:tr w:rsidR="006847E2" w:rsidRPr="00057E12" w14:paraId="6BFCBD4F" w14:textId="77777777" w:rsidTr="00CF4E4A">
        <w:tc>
          <w:tcPr>
            <w:tcW w:w="7616" w:type="dxa"/>
            <w:gridSpan w:val="3"/>
          </w:tcPr>
          <w:p w14:paraId="50807FB3" w14:textId="77777777" w:rsidR="006847E2" w:rsidRPr="00057E12" w:rsidRDefault="007634DC" w:rsidP="007634DC">
            <w:pPr>
              <w:rPr>
                <w:lang w:val="en-US"/>
              </w:rPr>
            </w:pPr>
            <w:r w:rsidRPr="00057E12">
              <w:rPr>
                <w:lang w:val="en-US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09E46DC0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AF75DE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1C4988DD" w14:textId="2BD751A6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C143723" w14:textId="0D2DA9C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E94240A" w14:textId="5BC41A31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543763CE" w14:textId="1B530A70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645F976E" w14:textId="77777777" w:rsidTr="00CF4E4A">
        <w:tc>
          <w:tcPr>
            <w:tcW w:w="7616" w:type="dxa"/>
            <w:gridSpan w:val="3"/>
          </w:tcPr>
          <w:p w14:paraId="59F779FB" w14:textId="77777777" w:rsidR="006847E2" w:rsidRPr="00057E12" w:rsidRDefault="007634DC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1B33D6E3" w14:textId="07A3A3B6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C77318" w14:textId="230811E8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34973523" w14:textId="0572E000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7DE5C41" w14:textId="5E873E6E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1885E99B" w14:textId="7E6407AC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7760544C" w14:textId="77777777" w:rsidTr="00CF4E4A">
        <w:tc>
          <w:tcPr>
            <w:tcW w:w="7616" w:type="dxa"/>
            <w:gridSpan w:val="3"/>
          </w:tcPr>
          <w:p w14:paraId="424132AC" w14:textId="74C6EDE1" w:rsidR="006847E2" w:rsidRPr="00057E12" w:rsidRDefault="007634DC" w:rsidP="007634DC">
            <w:pPr>
              <w:rPr>
                <w:lang w:val="en-US"/>
              </w:rPr>
            </w:pPr>
            <w:r w:rsidRPr="00057E12">
              <w:rPr>
                <w:lang w:val="en-US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  <w:vAlign w:val="center"/>
          </w:tcPr>
          <w:p w14:paraId="2ADE8E19" w14:textId="651E4BE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36FE2CAD" w14:textId="00AC17EB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  <w:vAlign w:val="center"/>
          </w:tcPr>
          <w:p w14:paraId="5004A949" w14:textId="0AD0A08E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5DDF3773" w14:textId="54D858B9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  <w:vAlign w:val="center"/>
          </w:tcPr>
          <w:p w14:paraId="575F2020" w14:textId="2BCC39F6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236BA3BD" w14:textId="77777777" w:rsidTr="00CF4E4A">
        <w:tc>
          <w:tcPr>
            <w:tcW w:w="7616" w:type="dxa"/>
            <w:gridSpan w:val="3"/>
          </w:tcPr>
          <w:p w14:paraId="458EDE4C" w14:textId="5F38D739" w:rsidR="006847E2" w:rsidRPr="00057E12" w:rsidRDefault="007634DC" w:rsidP="007634DC">
            <w:pPr>
              <w:rPr>
                <w:lang w:val="en-US"/>
              </w:rPr>
            </w:pPr>
            <w:r w:rsidRPr="00057E12">
              <w:rPr>
                <w:lang w:val="en-US"/>
              </w:rPr>
              <w:t>Level of</w:t>
            </w:r>
            <w:r w:rsidR="00836F0C" w:rsidRPr="00057E12">
              <w:rPr>
                <w:lang w:val="en-US"/>
              </w:rPr>
              <w:t xml:space="preserve"> analy</w:t>
            </w:r>
            <w:r w:rsidRPr="00057E12">
              <w:rPr>
                <w:lang w:val="en-US"/>
              </w:rPr>
              <w:t xml:space="preserve">tical and interpretive </w:t>
            </w:r>
            <w:r w:rsidR="00F0194B" w:rsidRPr="00057E12">
              <w:rPr>
                <w:lang w:val="en-US"/>
              </w:rPr>
              <w:t>elements</w:t>
            </w:r>
          </w:p>
        </w:tc>
        <w:tc>
          <w:tcPr>
            <w:tcW w:w="507" w:type="dxa"/>
          </w:tcPr>
          <w:p w14:paraId="14F2D8A9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36E9712" w14:textId="29231559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04A678EA" w14:textId="5CBF1204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017967A7" w14:textId="410E4D7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98A1F73" w14:textId="525925DC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32E557F2" w14:textId="56533D07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74363F3D" w14:textId="77777777" w:rsidTr="00CF4E4A">
        <w:tc>
          <w:tcPr>
            <w:tcW w:w="7616" w:type="dxa"/>
            <w:gridSpan w:val="3"/>
          </w:tcPr>
          <w:p w14:paraId="73754A0F" w14:textId="22A598F3" w:rsidR="006847E2" w:rsidRPr="00057E12" w:rsidRDefault="007634DC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Formulation of</w:t>
            </w:r>
            <w:r w:rsidR="00836F0C" w:rsidRPr="00057E12">
              <w:rPr>
                <w:lang w:val="en-US"/>
              </w:rPr>
              <w:t xml:space="preserve"> conclusions</w:t>
            </w:r>
            <w:r w:rsidRPr="00057E12">
              <w:rPr>
                <w:lang w:val="en-US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593BE9C" w14:textId="20F76C68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0042025" w14:textId="705C5360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951EB22" w14:textId="65405727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6B639F6" w14:textId="2F8D92A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57DA7E90" w14:textId="41F6AE68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2692B349" w14:textId="77777777" w:rsidTr="00CF4E4A">
        <w:tc>
          <w:tcPr>
            <w:tcW w:w="7616" w:type="dxa"/>
            <w:gridSpan w:val="3"/>
          </w:tcPr>
          <w:p w14:paraId="6024FAB3" w14:textId="7DD41DD8" w:rsidR="006847E2" w:rsidRPr="00057E12" w:rsidRDefault="007634DC" w:rsidP="007634DC">
            <w:pPr>
              <w:rPr>
                <w:lang w:val="en-US"/>
              </w:rPr>
            </w:pPr>
            <w:r w:rsidRPr="00057E12">
              <w:rPr>
                <w:lang w:val="en-US"/>
              </w:rPr>
              <w:t>Originality and v</w:t>
            </w:r>
            <w:r w:rsidR="00967103" w:rsidRPr="00057E12">
              <w:rPr>
                <w:lang w:val="en-US"/>
              </w:rPr>
              <w:t xml:space="preserve">ocational </w:t>
            </w:r>
            <w:r w:rsidRPr="00057E12">
              <w:rPr>
                <w:lang w:val="en-US"/>
              </w:rPr>
              <w:t>contribution</w:t>
            </w:r>
          </w:p>
        </w:tc>
        <w:tc>
          <w:tcPr>
            <w:tcW w:w="507" w:type="dxa"/>
          </w:tcPr>
          <w:p w14:paraId="05B28278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C43D61D" w14:textId="21F6D1F1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179E9EE" w14:textId="11F93F1C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7D102FAA" w14:textId="7198E795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710195A6" w14:textId="4D23CDBF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64D6FC1C" w14:textId="4F06A63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372EBFD8" w14:textId="77777777" w:rsidTr="00CF4E4A">
        <w:tc>
          <w:tcPr>
            <w:tcW w:w="10710" w:type="dxa"/>
            <w:gridSpan w:val="9"/>
          </w:tcPr>
          <w:p w14:paraId="64F4CDAF" w14:textId="5D804E12" w:rsidR="006847E2" w:rsidRPr="00057E12" w:rsidRDefault="004D0C4A" w:rsidP="00362AB0">
            <w:pPr>
              <w:rPr>
                <w:b/>
                <w:lang w:val="en-US"/>
              </w:rPr>
            </w:pPr>
            <w:r w:rsidRPr="00057E12">
              <w:rPr>
                <w:b/>
                <w:lang w:val="en-US"/>
              </w:rPr>
              <w:t>Justifications for e</w:t>
            </w:r>
            <w:r w:rsidR="00C11E00" w:rsidRPr="00057E12">
              <w:rPr>
                <w:b/>
                <w:lang w:val="en-US"/>
              </w:rPr>
              <w:t xml:space="preserve">valuation </w:t>
            </w:r>
            <w:r w:rsidR="001C1CA8" w:rsidRPr="00057E12">
              <w:rPr>
                <w:b/>
                <w:lang w:val="en-US"/>
              </w:rPr>
              <w:t>(</w:t>
            </w:r>
            <w:r w:rsidR="00382E0D" w:rsidRPr="00057E12">
              <w:rPr>
                <w:b/>
                <w:lang w:val="en-US"/>
              </w:rPr>
              <w:t>strengths</w:t>
            </w:r>
            <w:r w:rsidR="00C11E00" w:rsidRPr="00057E12">
              <w:rPr>
                <w:b/>
                <w:lang w:val="en-US"/>
              </w:rPr>
              <w:t xml:space="preserve"> and weaknesses</w:t>
            </w:r>
            <w:r w:rsidR="001C1CA8" w:rsidRPr="00057E12">
              <w:rPr>
                <w:b/>
                <w:lang w:val="en-US"/>
              </w:rPr>
              <w:t xml:space="preserve"> of thesis):</w:t>
            </w:r>
          </w:p>
          <w:p w14:paraId="1E83AE6F" w14:textId="77777777" w:rsidR="006847E2" w:rsidRPr="00C96F26" w:rsidRDefault="006847E2" w:rsidP="00362AB0">
            <w:pPr>
              <w:rPr>
                <w:sz w:val="10"/>
                <w:szCs w:val="10"/>
                <w:lang w:val="en-US"/>
              </w:rPr>
            </w:pPr>
          </w:p>
          <w:p w14:paraId="3B4793C1" w14:textId="3881974B" w:rsidR="00C6779F" w:rsidRPr="00057E12" w:rsidRDefault="0099317C" w:rsidP="00AE145C">
            <w:pPr>
              <w:jc w:val="both"/>
              <w:rPr>
                <w:lang w:val="en-US"/>
              </w:rPr>
            </w:pPr>
            <w:r w:rsidRPr="0099317C">
              <w:rPr>
                <w:lang w:val="en-US"/>
              </w:rPr>
              <w:t>The BT writer selected a genre-defying, structurally complex series for analysis. Focusing on second-person narration as a primary analytical lens—an</w:t>
            </w:r>
            <w:r w:rsidR="00376225">
              <w:rPr>
                <w:lang w:val="en-US"/>
              </w:rPr>
              <w:t>other</w:t>
            </w:r>
            <w:r w:rsidRPr="0099317C">
              <w:rPr>
                <w:lang w:val="en-US"/>
              </w:rPr>
              <w:t xml:space="preserve"> unconventional choice—the study examines</w:t>
            </w:r>
            <w:r w:rsidR="002E1C1F">
              <w:rPr>
                <w:lang w:val="en-US"/>
              </w:rPr>
              <w:t>, among other aspects,</w:t>
            </w:r>
            <w:r w:rsidRPr="0099317C">
              <w:rPr>
                <w:lang w:val="en-US"/>
              </w:rPr>
              <w:t xml:space="preserve"> how narrative unreliability in this mode alters reader engagement compared to traditional first- or third-person perspectives.</w:t>
            </w:r>
          </w:p>
          <w:p w14:paraId="1B43BADB" w14:textId="77777777" w:rsidR="0010277F" w:rsidRPr="00C96F26" w:rsidRDefault="0010277F" w:rsidP="00AE145C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1B2C9107" w14:textId="3A2A89FE" w:rsidR="00374794" w:rsidRPr="00057E12" w:rsidRDefault="00D977C3" w:rsidP="00374794">
            <w:pPr>
              <w:jc w:val="both"/>
              <w:rPr>
                <w:lang w:val="en-US"/>
              </w:rPr>
            </w:pPr>
            <w:r w:rsidRPr="00D977C3">
              <w:rPr>
                <w:lang w:val="en-US"/>
              </w:rPr>
              <w:t>Chapter 1 (12–17) outlines foundational concepts, traces the field’s historical development, and surveys key typologies (</w:t>
            </w:r>
            <w:proofErr w:type="spellStart"/>
            <w:r w:rsidRPr="00D977C3">
              <w:rPr>
                <w:lang w:val="en-US"/>
              </w:rPr>
              <w:t>Genette</w:t>
            </w:r>
            <w:proofErr w:type="spellEnd"/>
            <w:r w:rsidRPr="00D977C3">
              <w:rPr>
                <w:lang w:val="en-US"/>
              </w:rPr>
              <w:t xml:space="preserve">, </w:t>
            </w:r>
            <w:proofErr w:type="spellStart"/>
            <w:r w:rsidRPr="00D977C3">
              <w:rPr>
                <w:lang w:val="en-US"/>
              </w:rPr>
              <w:t>Stanzel</w:t>
            </w:r>
            <w:proofErr w:type="spellEnd"/>
            <w:r w:rsidRPr="00D977C3">
              <w:rPr>
                <w:lang w:val="en-US"/>
              </w:rPr>
              <w:t xml:space="preserve">). </w:t>
            </w:r>
            <w:r w:rsidR="007D06B5">
              <w:rPr>
                <w:lang w:val="en-US"/>
              </w:rPr>
              <w:t xml:space="preserve">The </w:t>
            </w:r>
            <w:r w:rsidRPr="00D977C3">
              <w:rPr>
                <w:lang w:val="en-US"/>
              </w:rPr>
              <w:t>thesis’s most substantive contribution</w:t>
            </w:r>
            <w:r w:rsidR="007D06B5">
              <w:rPr>
                <w:lang w:val="en-US"/>
              </w:rPr>
              <w:t>, however</w:t>
            </w:r>
            <w:r w:rsidR="00932E59">
              <w:rPr>
                <w:lang w:val="en-US"/>
              </w:rPr>
              <w:t>,</w:t>
            </w:r>
            <w:r w:rsidR="007D06B5">
              <w:rPr>
                <w:lang w:val="en-US"/>
              </w:rPr>
              <w:t xml:space="preserve"> </w:t>
            </w:r>
            <w:proofErr w:type="gramStart"/>
            <w:r w:rsidR="007D06B5">
              <w:rPr>
                <w:lang w:val="en-US"/>
              </w:rPr>
              <w:t>is offered</w:t>
            </w:r>
            <w:proofErr w:type="gramEnd"/>
            <w:r w:rsidR="007D06B5">
              <w:rPr>
                <w:lang w:val="en-US"/>
              </w:rPr>
              <w:t xml:space="preserve"> in Chapter 2</w:t>
            </w:r>
            <w:r w:rsidRPr="00D977C3">
              <w:rPr>
                <w:lang w:val="en-US"/>
              </w:rPr>
              <w:t xml:space="preserve">: a 10-page </w:t>
            </w:r>
            <w:r w:rsidR="00376225">
              <w:rPr>
                <w:lang w:val="en-US"/>
              </w:rPr>
              <w:t>introduction into</w:t>
            </w:r>
            <w:r w:rsidRPr="00D977C3">
              <w:rPr>
                <w:lang w:val="en-US"/>
              </w:rPr>
              <w:t xml:space="preserve"> second-person narration, including three pages of </w:t>
            </w:r>
            <w:r w:rsidR="00376225">
              <w:rPr>
                <w:lang w:val="en-US"/>
              </w:rPr>
              <w:t>“</w:t>
            </w:r>
            <w:r w:rsidRPr="00D977C3">
              <w:rPr>
                <w:lang w:val="en-US"/>
              </w:rPr>
              <w:t>newly proposed typologies.</w:t>
            </w:r>
            <w:r w:rsidR="00376225">
              <w:rPr>
                <w:lang w:val="en-US"/>
              </w:rPr>
              <w:t>”</w:t>
            </w:r>
            <w:r w:rsidRPr="00D977C3">
              <w:rPr>
                <w:lang w:val="en-US"/>
              </w:rPr>
              <w:t xml:space="preserve"> Pages 23–26 critically engage with theoretical debates </w:t>
            </w:r>
            <w:r w:rsidR="00932E59">
              <w:rPr>
                <w:lang w:val="en-US"/>
              </w:rPr>
              <w:t>regarding ways</w:t>
            </w:r>
            <w:r w:rsidRPr="00D977C3">
              <w:rPr>
                <w:lang w:val="en-US"/>
              </w:rPr>
              <w:t xml:space="preserve"> second-person narration</w:t>
            </w:r>
            <w:r w:rsidR="00932E59">
              <w:rPr>
                <w:lang w:val="en-US"/>
              </w:rPr>
              <w:t xml:space="preserve"> can be defined</w:t>
            </w:r>
            <w:r w:rsidRPr="00D977C3">
              <w:rPr>
                <w:lang w:val="en-US"/>
              </w:rPr>
              <w:t xml:space="preserve">, supported by </w:t>
            </w:r>
            <w:r w:rsidR="00932E59">
              <w:rPr>
                <w:lang w:val="en-US"/>
              </w:rPr>
              <w:t xml:space="preserve">a wide range of </w:t>
            </w:r>
            <w:r w:rsidRPr="00D977C3">
              <w:rPr>
                <w:lang w:val="en-US"/>
              </w:rPr>
              <w:t>cross-genre literary examples—an ambitious effort for this level of scholarship.</w:t>
            </w:r>
          </w:p>
          <w:p w14:paraId="62AF1BD6" w14:textId="1A4E6EC4" w:rsidR="007040BB" w:rsidRPr="00C96F26" w:rsidRDefault="007040BB" w:rsidP="00374794">
            <w:pPr>
              <w:jc w:val="both"/>
              <w:rPr>
                <w:sz w:val="10"/>
                <w:szCs w:val="10"/>
                <w:lang w:val="en-US"/>
              </w:rPr>
            </w:pPr>
            <w:r w:rsidRPr="00057E12">
              <w:rPr>
                <w:lang w:val="en-US"/>
              </w:rPr>
              <w:t xml:space="preserve"> </w:t>
            </w:r>
          </w:p>
          <w:p w14:paraId="5858F338" w14:textId="674B98B9" w:rsidR="007040BB" w:rsidRDefault="00E6227B" w:rsidP="00E6227B">
            <w:pPr>
              <w:jc w:val="both"/>
              <w:rPr>
                <w:lang w:val="en-US"/>
              </w:rPr>
            </w:pPr>
            <w:r w:rsidRPr="00E6227B">
              <w:rPr>
                <w:lang w:val="en-US"/>
              </w:rPr>
              <w:t>The analysis is strongest in its examination of second-person narration</w:t>
            </w:r>
            <w:r w:rsidR="00D9179C">
              <w:rPr>
                <w:lang w:val="en-US"/>
              </w:rPr>
              <w:t xml:space="preserve"> in </w:t>
            </w:r>
            <w:r w:rsidR="00D9179C" w:rsidRPr="00D9179C">
              <w:rPr>
                <w:i/>
                <w:iCs/>
                <w:lang w:val="en-US"/>
              </w:rPr>
              <w:t>Harrow the Ninth</w:t>
            </w:r>
            <w:r w:rsidRPr="00E6227B">
              <w:rPr>
                <w:lang w:val="en-US"/>
              </w:rPr>
              <w:t xml:space="preserve">, particularly </w:t>
            </w:r>
            <w:r w:rsidR="00D9179C">
              <w:rPr>
                <w:lang w:val="en-US"/>
              </w:rPr>
              <w:t>the</w:t>
            </w:r>
            <w:r w:rsidRPr="00E6227B">
              <w:rPr>
                <w:lang w:val="en-US"/>
              </w:rPr>
              <w:t xml:space="preserve"> </w:t>
            </w:r>
            <w:r w:rsidR="00E622DF">
              <w:rPr>
                <w:lang w:val="en-US"/>
              </w:rPr>
              <w:t xml:space="preserve">narrative development that leads to the </w:t>
            </w:r>
            <w:r w:rsidRPr="00E6227B">
              <w:rPr>
                <w:lang w:val="en-US"/>
              </w:rPr>
              <w:t xml:space="preserve">revelation that </w:t>
            </w:r>
            <w:proofErr w:type="spellStart"/>
            <w:r w:rsidRPr="00E6227B">
              <w:rPr>
                <w:lang w:val="en-US"/>
              </w:rPr>
              <w:t>Harrowhark</w:t>
            </w:r>
            <w:proofErr w:type="spellEnd"/>
            <w:r w:rsidRPr="00E6227B">
              <w:rPr>
                <w:lang w:val="en-US"/>
              </w:rPr>
              <w:t xml:space="preserve"> </w:t>
            </w:r>
            <w:proofErr w:type="spellStart"/>
            <w:r w:rsidRPr="00E6227B">
              <w:rPr>
                <w:lang w:val="en-US"/>
              </w:rPr>
              <w:t>Nonagesimus</w:t>
            </w:r>
            <w:proofErr w:type="spellEnd"/>
            <w:r w:rsidRPr="00E6227B">
              <w:rPr>
                <w:lang w:val="en-US"/>
              </w:rPr>
              <w:t xml:space="preserve">—along with the spectral presence of Gideon </w:t>
            </w:r>
            <w:proofErr w:type="spellStart"/>
            <w:r w:rsidRPr="00E6227B">
              <w:rPr>
                <w:lang w:val="en-US"/>
              </w:rPr>
              <w:t>Nav</w:t>
            </w:r>
            <w:proofErr w:type="spellEnd"/>
            <w:r w:rsidRPr="00E6227B">
              <w:rPr>
                <w:lang w:val="en-US"/>
              </w:rPr>
              <w:t xml:space="preserve">—lacks full agency over her own consciousness. The </w:t>
            </w:r>
            <w:r w:rsidR="00714D25">
              <w:rPr>
                <w:lang w:val="en-US"/>
              </w:rPr>
              <w:t xml:space="preserve">series of </w:t>
            </w:r>
            <w:r w:rsidRPr="00E6227B">
              <w:rPr>
                <w:lang w:val="en-US"/>
              </w:rPr>
              <w:t>disclosure</w:t>
            </w:r>
            <w:r w:rsidR="00714D25">
              <w:rPr>
                <w:lang w:val="en-US"/>
              </w:rPr>
              <w:t>s</w:t>
            </w:r>
            <w:r w:rsidRPr="00E6227B">
              <w:rPr>
                <w:lang w:val="en-US"/>
              </w:rPr>
              <w:t xml:space="preserve"> that </w:t>
            </w:r>
            <w:r>
              <w:rPr>
                <w:lang w:val="en-US"/>
              </w:rPr>
              <w:t>t</w:t>
            </w:r>
            <w:r w:rsidRPr="00E6227B">
              <w:rPr>
                <w:lang w:val="en-US"/>
              </w:rPr>
              <w:t xml:space="preserve">he third-person </w:t>
            </w:r>
            <w:r w:rsidR="00714D25">
              <w:rPr>
                <w:lang w:val="en-US"/>
              </w:rPr>
              <w:t>narrative sections may</w:t>
            </w:r>
            <w:r w:rsidRPr="00E6227B">
              <w:rPr>
                <w:lang w:val="en-US"/>
              </w:rPr>
              <w:t xml:space="preserve"> consist of fabricated or altered memories further underscores the novel’s sophisticated engagement with unreliable narration</w:t>
            </w:r>
            <w:r w:rsidR="00657ABA">
              <w:rPr>
                <w:lang w:val="en-US"/>
              </w:rPr>
              <w:t>, for example</w:t>
            </w:r>
            <w:r w:rsidRPr="00E6227B">
              <w:rPr>
                <w:lang w:val="en-US"/>
              </w:rPr>
              <w:t xml:space="preserve"> as a psychological defense mechanism.</w:t>
            </w:r>
            <w:r w:rsidR="00616DEE">
              <w:rPr>
                <w:lang w:val="en-US"/>
              </w:rPr>
              <w:t xml:space="preserve"> </w:t>
            </w:r>
            <w:r w:rsidR="00A37196">
              <w:rPr>
                <w:lang w:val="en-US"/>
              </w:rPr>
              <w:t>In</w:t>
            </w:r>
            <w:r w:rsidRPr="00E6227B">
              <w:rPr>
                <w:lang w:val="en-US"/>
              </w:rPr>
              <w:t xml:space="preserve"> contrast, </w:t>
            </w:r>
            <w:r w:rsidR="0074727B">
              <w:rPr>
                <w:lang w:val="en-US"/>
              </w:rPr>
              <w:t xml:space="preserve">the </w:t>
            </w:r>
            <w:r w:rsidR="00616DEE">
              <w:rPr>
                <w:lang w:val="en-US"/>
              </w:rPr>
              <w:t>analysis in the thesis of more</w:t>
            </w:r>
            <w:r w:rsidRPr="00E6227B">
              <w:rPr>
                <w:lang w:val="en-US"/>
              </w:rPr>
              <w:t xml:space="preserve"> conventional narrative perspectives feels </w:t>
            </w:r>
            <w:r w:rsidR="00657ABA">
              <w:rPr>
                <w:lang w:val="en-US"/>
              </w:rPr>
              <w:t xml:space="preserve">a bit </w:t>
            </w:r>
            <w:r w:rsidR="00A37196">
              <w:rPr>
                <w:lang w:val="en-US"/>
              </w:rPr>
              <w:t>anti-climactic</w:t>
            </w:r>
            <w:r w:rsidRPr="00E6227B">
              <w:rPr>
                <w:lang w:val="en-US"/>
              </w:rPr>
              <w:t xml:space="preserve"> following such a robust theoretical framework</w:t>
            </w:r>
            <w:r w:rsidR="00115772">
              <w:rPr>
                <w:lang w:val="en-US"/>
              </w:rPr>
              <w:t xml:space="preserve"> and exploration of all the implications of the Harrow/Gideon </w:t>
            </w:r>
            <w:r w:rsidR="0074727B">
              <w:rPr>
                <w:lang w:val="en-US"/>
              </w:rPr>
              <w:t xml:space="preserve">“complex” in terms of second-person </w:t>
            </w:r>
            <w:r w:rsidR="00A37196">
              <w:rPr>
                <w:lang w:val="en-US"/>
              </w:rPr>
              <w:t>perspective</w:t>
            </w:r>
            <w:r w:rsidRPr="00E6227B">
              <w:rPr>
                <w:lang w:val="en-US"/>
              </w:rPr>
              <w:t>.</w:t>
            </w:r>
          </w:p>
          <w:p w14:paraId="08F6AD0D" w14:textId="77777777" w:rsidR="00655F86" w:rsidRPr="00C96F26" w:rsidRDefault="00655F86" w:rsidP="00374794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4CF30FF9" w14:textId="65635E1F" w:rsidR="00E87FC4" w:rsidRDefault="00E87FC4" w:rsidP="00C96F26">
            <w:pPr>
              <w:jc w:val="both"/>
              <w:rPr>
                <w:lang w:val="en-US"/>
              </w:rPr>
            </w:pPr>
            <w:r w:rsidRPr="00E87FC4">
              <w:rPr>
                <w:lang w:val="en-US"/>
              </w:rPr>
              <w:t xml:space="preserve">The thesis demonstrates a consistently strong command of prose, though </w:t>
            </w:r>
            <w:r w:rsidR="00D02313">
              <w:rPr>
                <w:lang w:val="en-US"/>
              </w:rPr>
              <w:t xml:space="preserve">there are some </w:t>
            </w:r>
            <w:r w:rsidRPr="00E87FC4">
              <w:rPr>
                <w:lang w:val="en-US"/>
              </w:rPr>
              <w:t xml:space="preserve">occasional lapses into </w:t>
            </w:r>
            <w:r>
              <w:rPr>
                <w:lang w:val="en-US"/>
              </w:rPr>
              <w:t xml:space="preserve">less-than-academic </w:t>
            </w:r>
            <w:r w:rsidRPr="00E87FC4">
              <w:rPr>
                <w:lang w:val="en-US"/>
              </w:rPr>
              <w:t xml:space="preserve">register. Nevertheless, the </w:t>
            </w:r>
            <w:r w:rsidR="00FB4C48">
              <w:rPr>
                <w:lang w:val="en-US"/>
              </w:rPr>
              <w:t>deep exploration</w:t>
            </w:r>
            <w:r w:rsidR="004B2022">
              <w:rPr>
                <w:lang w:val="en-US"/>
              </w:rPr>
              <w:t xml:space="preserve"> of second-person narration in the </w:t>
            </w:r>
            <w:r w:rsidRPr="00E87FC4">
              <w:rPr>
                <w:lang w:val="en-US"/>
              </w:rPr>
              <w:t>work constitutes a formidable achievement for undergraduate research.</w:t>
            </w:r>
          </w:p>
          <w:p w14:paraId="03D255B5" w14:textId="2CE01C4A" w:rsidR="00C96F26" w:rsidRPr="00D02313" w:rsidRDefault="00C96F26" w:rsidP="00C96F26">
            <w:pPr>
              <w:jc w:val="both"/>
              <w:rPr>
                <w:sz w:val="10"/>
                <w:szCs w:val="10"/>
                <w:lang w:val="en-US"/>
              </w:rPr>
            </w:pPr>
          </w:p>
        </w:tc>
      </w:tr>
      <w:tr w:rsidR="006847E2" w:rsidRPr="00057E12" w14:paraId="3FFE1BFD" w14:textId="77777777" w:rsidTr="00CF4E4A">
        <w:tc>
          <w:tcPr>
            <w:tcW w:w="10710" w:type="dxa"/>
            <w:gridSpan w:val="9"/>
          </w:tcPr>
          <w:p w14:paraId="4798E02A" w14:textId="4F997886" w:rsidR="006A27D9" w:rsidRPr="006A27D9" w:rsidRDefault="003E027C" w:rsidP="00362AB0">
            <w:pPr>
              <w:rPr>
                <w:b/>
                <w:sz w:val="10"/>
                <w:szCs w:val="10"/>
                <w:lang w:val="en-US"/>
              </w:rPr>
            </w:pPr>
            <w:r w:rsidRPr="00057E12">
              <w:rPr>
                <w:b/>
                <w:lang w:val="en-US"/>
              </w:rPr>
              <w:t>Questions</w:t>
            </w:r>
            <w:r w:rsidR="00967103" w:rsidRPr="00057E12">
              <w:rPr>
                <w:b/>
                <w:lang w:val="en-US"/>
              </w:rPr>
              <w:t xml:space="preserve"> to be answered by student</w:t>
            </w:r>
            <w:r w:rsidR="006847E2" w:rsidRPr="00057E12">
              <w:rPr>
                <w:b/>
                <w:lang w:val="en-US"/>
              </w:rPr>
              <w:t>:</w:t>
            </w:r>
          </w:p>
          <w:p w14:paraId="6591A91E" w14:textId="77777777" w:rsidR="00546368" w:rsidRDefault="003D15A2" w:rsidP="00362AB0">
            <w:pPr>
              <w:rPr>
                <w:lang w:val="en-US"/>
              </w:rPr>
            </w:pPr>
            <w:r>
              <w:rPr>
                <w:lang w:val="en-US"/>
              </w:rPr>
              <w:t xml:space="preserve">1) </w:t>
            </w:r>
            <w:r w:rsidR="00DB1CB0" w:rsidRPr="00DB1CB0">
              <w:rPr>
                <w:lang w:val="en-US"/>
              </w:rPr>
              <w:t xml:space="preserve">What </w:t>
            </w:r>
            <w:r w:rsidR="00546368">
              <w:rPr>
                <w:lang w:val="en-US"/>
              </w:rPr>
              <w:t xml:space="preserve">other </w:t>
            </w:r>
            <w:r w:rsidR="00DB1CB0" w:rsidRPr="00DB1CB0">
              <w:rPr>
                <w:lang w:val="en-US"/>
              </w:rPr>
              <w:t xml:space="preserve">significant works of fiction employ second-person narration, and how do they inform this </w:t>
            </w:r>
          </w:p>
          <w:p w14:paraId="36BA682F" w14:textId="13A96B9A" w:rsidR="006847E2" w:rsidRDefault="00DB1CB0" w:rsidP="00546368">
            <w:pPr>
              <w:ind w:left="162"/>
              <w:rPr>
                <w:lang w:val="en-US"/>
              </w:rPr>
            </w:pPr>
            <w:proofErr w:type="gramStart"/>
            <w:r w:rsidRPr="00DB1CB0">
              <w:rPr>
                <w:lang w:val="en-US"/>
              </w:rPr>
              <w:t>analysis</w:t>
            </w:r>
            <w:proofErr w:type="gramEnd"/>
            <w:r w:rsidRPr="00DB1CB0">
              <w:rPr>
                <w:lang w:val="en-US"/>
              </w:rPr>
              <w:t>?</w:t>
            </w:r>
          </w:p>
          <w:p w14:paraId="4C08B50C" w14:textId="77777777" w:rsidR="006A27D9" w:rsidRPr="006A27D9" w:rsidRDefault="006A27D9" w:rsidP="00362AB0">
            <w:pPr>
              <w:rPr>
                <w:sz w:val="10"/>
                <w:szCs w:val="10"/>
                <w:lang w:val="en-US"/>
              </w:rPr>
            </w:pPr>
            <w:bookmarkStart w:id="0" w:name="_GoBack"/>
            <w:bookmarkEnd w:id="0"/>
          </w:p>
          <w:p w14:paraId="32A44ACD" w14:textId="77777777" w:rsidR="006A27D9" w:rsidRDefault="00AA4D93" w:rsidP="008B3551">
            <w:pPr>
              <w:rPr>
                <w:lang w:val="en-US"/>
              </w:rPr>
            </w:pPr>
            <w:r>
              <w:rPr>
                <w:lang w:val="en-US"/>
              </w:rPr>
              <w:t xml:space="preserve">2) </w:t>
            </w:r>
            <w:r w:rsidR="006A27D9" w:rsidRPr="006A27D9">
              <w:rPr>
                <w:lang w:val="en-US"/>
              </w:rPr>
              <w:t xml:space="preserve">In what ways does Gideon manifest within Harrow's consciousness both materially and metaphorically? </w:t>
            </w:r>
          </w:p>
          <w:p w14:paraId="7DA89937" w14:textId="49B2A19D" w:rsidR="006847E2" w:rsidRDefault="006A27D9" w:rsidP="008B3551">
            <w:pPr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6A27D9">
              <w:rPr>
                <w:lang w:val="en-US"/>
              </w:rPr>
              <w:t>How might we characterize their relationship</w:t>
            </w:r>
            <w:r w:rsidR="00CF4E4A" w:rsidRPr="0099317C">
              <w:rPr>
                <w:lang w:val="en-US"/>
              </w:rPr>
              <w:t>—</w:t>
            </w:r>
            <w:r w:rsidRPr="006A27D9">
              <w:rPr>
                <w:lang w:val="en-US"/>
              </w:rPr>
              <w:t>as tragic, romantic, or some synthesis of both?</w:t>
            </w:r>
          </w:p>
          <w:p w14:paraId="1ECD2B2D" w14:textId="438A9F14" w:rsidR="006A27D9" w:rsidRPr="006A27D9" w:rsidRDefault="006A27D9" w:rsidP="008B3551">
            <w:pPr>
              <w:rPr>
                <w:sz w:val="10"/>
                <w:szCs w:val="10"/>
                <w:lang w:val="en-US"/>
              </w:rPr>
            </w:pPr>
          </w:p>
        </w:tc>
      </w:tr>
      <w:tr w:rsidR="00B34571" w:rsidRPr="00057E12" w14:paraId="02242B41" w14:textId="77777777" w:rsidTr="00CF4E4A">
        <w:tc>
          <w:tcPr>
            <w:tcW w:w="10710" w:type="dxa"/>
            <w:gridSpan w:val="9"/>
          </w:tcPr>
          <w:p w14:paraId="12848D0F" w14:textId="0E6A59F3" w:rsidR="00B34571" w:rsidRPr="00057E12" w:rsidRDefault="0030066B" w:rsidP="003D4EB1">
            <w:pPr>
              <w:rPr>
                <w:b/>
                <w:lang w:val="en-US"/>
              </w:rPr>
            </w:pPr>
            <w:r w:rsidRPr="00057E12">
              <w:rPr>
                <w:b/>
                <w:lang w:val="en-US"/>
              </w:rPr>
              <w:t>Th</w:t>
            </w:r>
            <w:r w:rsidR="004D0C4A" w:rsidRPr="00057E12">
              <w:rPr>
                <w:b/>
                <w:lang w:val="en-US"/>
              </w:rPr>
              <w:t>is</w:t>
            </w:r>
            <w:r w:rsidRPr="00057E12">
              <w:rPr>
                <w:b/>
                <w:lang w:val="en-US"/>
              </w:rPr>
              <w:t xml:space="preserve"> work </w:t>
            </w:r>
            <w:proofErr w:type="gramStart"/>
            <w:r w:rsidR="003D4EB1" w:rsidRPr="00057E12">
              <w:rPr>
                <w:b/>
                <w:lang w:val="en-US"/>
              </w:rPr>
              <w:t>was</w:t>
            </w:r>
            <w:r w:rsidRPr="00057E12">
              <w:rPr>
                <w:b/>
                <w:lang w:val="en-US"/>
              </w:rPr>
              <w:t xml:space="preserve"> checked</w:t>
            </w:r>
            <w:proofErr w:type="gramEnd"/>
            <w:r w:rsidRPr="00057E12">
              <w:rPr>
                <w:b/>
                <w:lang w:val="en-US"/>
              </w:rPr>
              <w:t xml:space="preserve"> </w:t>
            </w:r>
            <w:r w:rsidR="00603BFD" w:rsidRPr="00057E12">
              <w:rPr>
                <w:b/>
                <w:lang w:val="en-US"/>
              </w:rPr>
              <w:t>by the</w:t>
            </w:r>
            <w:r w:rsidRPr="00057E12">
              <w:rPr>
                <w:b/>
                <w:lang w:val="en-US"/>
              </w:rPr>
              <w:t xml:space="preserve"> plagiarism detection system </w:t>
            </w:r>
            <w:r w:rsidRPr="00057E12">
              <w:rPr>
                <w:b/>
                <w:i/>
                <w:lang w:val="en-US"/>
              </w:rPr>
              <w:t>Theses</w:t>
            </w:r>
            <w:r w:rsidRPr="00057E12">
              <w:rPr>
                <w:b/>
                <w:lang w:val="en-US"/>
              </w:rPr>
              <w:t xml:space="preserve"> with the result of </w:t>
            </w:r>
            <w:r w:rsidR="003D15A2">
              <w:rPr>
                <w:b/>
                <w:lang w:val="en-US"/>
              </w:rPr>
              <w:t>n</w:t>
            </w:r>
            <w:r w:rsidRPr="00057E12">
              <w:rPr>
                <w:b/>
                <w:lang w:val="en-US"/>
              </w:rPr>
              <w:t>egative</w:t>
            </w:r>
            <w:r w:rsidR="003D15A2">
              <w:rPr>
                <w:b/>
                <w:lang w:val="en-US"/>
              </w:rPr>
              <w:t>.</w:t>
            </w:r>
          </w:p>
        </w:tc>
      </w:tr>
      <w:tr w:rsidR="006847E2" w:rsidRPr="00057E12" w14:paraId="3B9D8493" w14:textId="77777777" w:rsidTr="00CF4E4A">
        <w:tc>
          <w:tcPr>
            <w:tcW w:w="7616" w:type="dxa"/>
            <w:gridSpan w:val="3"/>
          </w:tcPr>
          <w:p w14:paraId="409C15EF" w14:textId="7663304B" w:rsidR="006847E2" w:rsidRPr="00057E12" w:rsidRDefault="003E027C" w:rsidP="00362AB0">
            <w:pPr>
              <w:rPr>
                <w:lang w:val="en-US"/>
              </w:rPr>
            </w:pPr>
            <w:r w:rsidRPr="00057E12">
              <w:rPr>
                <w:b/>
                <w:lang w:val="en-US"/>
              </w:rPr>
              <w:t>Overall mark</w:t>
            </w:r>
            <w:r w:rsidR="006847E2" w:rsidRPr="00057E12">
              <w:rPr>
                <w:rStyle w:val="Znakapoznpodarou"/>
                <w:b/>
                <w:lang w:val="en-US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77777777" w:rsidR="006847E2" w:rsidRPr="00057E12" w:rsidRDefault="006847E2" w:rsidP="00AD2438">
            <w:pPr>
              <w:jc w:val="center"/>
              <w:rPr>
                <w:lang w:val="en-US"/>
              </w:rPr>
            </w:pPr>
            <w:r w:rsidRPr="00057E12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55DB8468" w14:textId="580B0FCA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1736C29" w14:textId="13E87632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4094DB1" w14:textId="7545DAD1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3F64F41" w14:textId="38642756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62" w:type="dxa"/>
          </w:tcPr>
          <w:p w14:paraId="6B4B1CD2" w14:textId="64EECE10" w:rsidR="006847E2" w:rsidRPr="00057E12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057E12" w14:paraId="15E6D593" w14:textId="77777777" w:rsidTr="00CF4E4A">
        <w:tc>
          <w:tcPr>
            <w:tcW w:w="4893" w:type="dxa"/>
            <w:gridSpan w:val="2"/>
            <w:vAlign w:val="center"/>
          </w:tcPr>
          <w:p w14:paraId="24F3BE9D" w14:textId="5884C736" w:rsidR="006847E2" w:rsidRPr="00057E12" w:rsidRDefault="006847E2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Da</w:t>
            </w:r>
            <w:r w:rsidR="003E027C" w:rsidRPr="00057E12">
              <w:rPr>
                <w:lang w:val="en-US"/>
              </w:rPr>
              <w:t>te</w:t>
            </w:r>
            <w:r w:rsidRPr="00057E12">
              <w:rPr>
                <w:lang w:val="en-US"/>
              </w:rPr>
              <w:t>:</w:t>
            </w:r>
            <w:r w:rsidR="002A3C42">
              <w:rPr>
                <w:lang w:val="en-US"/>
              </w:rPr>
              <w:t xml:space="preserve"> 20.5.2025</w:t>
            </w:r>
          </w:p>
        </w:tc>
        <w:tc>
          <w:tcPr>
            <w:tcW w:w="5817" w:type="dxa"/>
            <w:gridSpan w:val="7"/>
            <w:vAlign w:val="center"/>
          </w:tcPr>
          <w:p w14:paraId="35E46441" w14:textId="522E2237" w:rsidR="006847E2" w:rsidRPr="00057E12" w:rsidRDefault="003E027C" w:rsidP="00362AB0">
            <w:pPr>
              <w:rPr>
                <w:lang w:val="en-US"/>
              </w:rPr>
            </w:pPr>
            <w:r w:rsidRPr="00057E12">
              <w:rPr>
                <w:lang w:val="en-US"/>
              </w:rPr>
              <w:t>Signature</w:t>
            </w:r>
            <w:r w:rsidR="006847E2" w:rsidRPr="00057E12">
              <w:rPr>
                <w:lang w:val="en-US"/>
              </w:rPr>
              <w:t>:</w:t>
            </w:r>
            <w:r w:rsidR="00110668" w:rsidRPr="00057E12">
              <w:rPr>
                <w:lang w:val="en-US"/>
              </w:rPr>
              <w:t xml:space="preserve"> </w:t>
            </w:r>
            <w:r w:rsidR="00110668" w:rsidRPr="00057E12">
              <w:rPr>
                <w:lang w:val="en-US"/>
              </w:rPr>
              <w:t>Daniel Sampey, MFA</w:t>
            </w:r>
            <w:r w:rsidR="00110668">
              <w:rPr>
                <w:lang w:val="en-US"/>
              </w:rPr>
              <w:t>, v. r.</w:t>
            </w:r>
          </w:p>
        </w:tc>
      </w:tr>
    </w:tbl>
    <w:p w14:paraId="539C3893" w14:textId="77777777" w:rsidR="006847E2" w:rsidRPr="00057E12" w:rsidRDefault="006847E2">
      <w:pPr>
        <w:rPr>
          <w:lang w:val="en-US"/>
        </w:rPr>
      </w:pPr>
    </w:p>
    <w:sectPr w:rsidR="006847E2" w:rsidRPr="00057E12" w:rsidSect="00C96F26">
      <w:pgSz w:w="11906" w:h="16838"/>
      <w:pgMar w:top="81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CFAE8" w14:textId="77777777" w:rsidR="0050193C" w:rsidRDefault="0050193C">
      <w:r>
        <w:separator/>
      </w:r>
    </w:p>
  </w:endnote>
  <w:endnote w:type="continuationSeparator" w:id="0">
    <w:p w14:paraId="4BC7471E" w14:textId="77777777" w:rsidR="0050193C" w:rsidRDefault="00501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E8455" w14:textId="77777777" w:rsidR="0050193C" w:rsidRDefault="0050193C">
      <w:r>
        <w:separator/>
      </w:r>
    </w:p>
  </w:footnote>
  <w:footnote w:type="continuationSeparator" w:id="0">
    <w:p w14:paraId="66E86A86" w14:textId="77777777" w:rsidR="0050193C" w:rsidRDefault="0050193C">
      <w:r>
        <w:continuationSeparator/>
      </w:r>
    </w:p>
  </w:footnote>
  <w:footnote w:id="1">
    <w:p w14:paraId="614CE662" w14:textId="0A1A1431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0243"/>
    <w:rsid w:val="00042477"/>
    <w:rsid w:val="00057E12"/>
    <w:rsid w:val="00065813"/>
    <w:rsid w:val="00073326"/>
    <w:rsid w:val="000841C9"/>
    <w:rsid w:val="00094414"/>
    <w:rsid w:val="000B0BAA"/>
    <w:rsid w:val="000B2F68"/>
    <w:rsid w:val="000C6264"/>
    <w:rsid w:val="000D30EB"/>
    <w:rsid w:val="000F33A2"/>
    <w:rsid w:val="0010277F"/>
    <w:rsid w:val="00110668"/>
    <w:rsid w:val="00115772"/>
    <w:rsid w:val="00115E9E"/>
    <w:rsid w:val="00146DE3"/>
    <w:rsid w:val="00185581"/>
    <w:rsid w:val="00192847"/>
    <w:rsid w:val="001B2D89"/>
    <w:rsid w:val="001C1CA8"/>
    <w:rsid w:val="001C3C78"/>
    <w:rsid w:val="00203128"/>
    <w:rsid w:val="00212774"/>
    <w:rsid w:val="00235193"/>
    <w:rsid w:val="002661FA"/>
    <w:rsid w:val="002669DD"/>
    <w:rsid w:val="002855C7"/>
    <w:rsid w:val="002A3C42"/>
    <w:rsid w:val="002B2A4C"/>
    <w:rsid w:val="002D65E9"/>
    <w:rsid w:val="002E1C1F"/>
    <w:rsid w:val="003003E8"/>
    <w:rsid w:val="0030066B"/>
    <w:rsid w:val="003043DF"/>
    <w:rsid w:val="00307320"/>
    <w:rsid w:val="00320B5D"/>
    <w:rsid w:val="00331266"/>
    <w:rsid w:val="003473D3"/>
    <w:rsid w:val="003507EC"/>
    <w:rsid w:val="00362AB0"/>
    <w:rsid w:val="00374794"/>
    <w:rsid w:val="00376225"/>
    <w:rsid w:val="00382E0D"/>
    <w:rsid w:val="00383239"/>
    <w:rsid w:val="003A69C4"/>
    <w:rsid w:val="003D15A2"/>
    <w:rsid w:val="003D4EB1"/>
    <w:rsid w:val="003E027C"/>
    <w:rsid w:val="003F5DA2"/>
    <w:rsid w:val="00401253"/>
    <w:rsid w:val="00404F28"/>
    <w:rsid w:val="00464671"/>
    <w:rsid w:val="004B2022"/>
    <w:rsid w:val="004C2086"/>
    <w:rsid w:val="004D0C4A"/>
    <w:rsid w:val="004E2C9F"/>
    <w:rsid w:val="0050193C"/>
    <w:rsid w:val="00526D47"/>
    <w:rsid w:val="00546368"/>
    <w:rsid w:val="00546EFC"/>
    <w:rsid w:val="0055567C"/>
    <w:rsid w:val="005961EE"/>
    <w:rsid w:val="005A58F6"/>
    <w:rsid w:val="005B053C"/>
    <w:rsid w:val="005C182B"/>
    <w:rsid w:val="005D615F"/>
    <w:rsid w:val="005D61D9"/>
    <w:rsid w:val="00603BFD"/>
    <w:rsid w:val="00616DEE"/>
    <w:rsid w:val="00626156"/>
    <w:rsid w:val="00655F86"/>
    <w:rsid w:val="00657ABA"/>
    <w:rsid w:val="006833B1"/>
    <w:rsid w:val="006847E2"/>
    <w:rsid w:val="006A27D9"/>
    <w:rsid w:val="006D1309"/>
    <w:rsid w:val="006E1A66"/>
    <w:rsid w:val="007040BB"/>
    <w:rsid w:val="00714D25"/>
    <w:rsid w:val="007411DC"/>
    <w:rsid w:val="00744306"/>
    <w:rsid w:val="0074727B"/>
    <w:rsid w:val="007634DC"/>
    <w:rsid w:val="00796AE4"/>
    <w:rsid w:val="007A3C8F"/>
    <w:rsid w:val="007B6210"/>
    <w:rsid w:val="007D06B5"/>
    <w:rsid w:val="007D0E08"/>
    <w:rsid w:val="007E7DCD"/>
    <w:rsid w:val="00836F0C"/>
    <w:rsid w:val="008B3551"/>
    <w:rsid w:val="00913F8D"/>
    <w:rsid w:val="00930817"/>
    <w:rsid w:val="00932E59"/>
    <w:rsid w:val="00934626"/>
    <w:rsid w:val="009462BC"/>
    <w:rsid w:val="009613E9"/>
    <w:rsid w:val="00967103"/>
    <w:rsid w:val="009875B9"/>
    <w:rsid w:val="0099317C"/>
    <w:rsid w:val="009A2164"/>
    <w:rsid w:val="009D1F02"/>
    <w:rsid w:val="009D32F5"/>
    <w:rsid w:val="009D5C9B"/>
    <w:rsid w:val="00A078A8"/>
    <w:rsid w:val="00A257F2"/>
    <w:rsid w:val="00A37196"/>
    <w:rsid w:val="00A54831"/>
    <w:rsid w:val="00A55E2A"/>
    <w:rsid w:val="00A96068"/>
    <w:rsid w:val="00AA4D93"/>
    <w:rsid w:val="00AA599B"/>
    <w:rsid w:val="00AD2438"/>
    <w:rsid w:val="00AE145C"/>
    <w:rsid w:val="00AF3021"/>
    <w:rsid w:val="00B10B4C"/>
    <w:rsid w:val="00B227D5"/>
    <w:rsid w:val="00B34571"/>
    <w:rsid w:val="00B8514C"/>
    <w:rsid w:val="00BA1DDC"/>
    <w:rsid w:val="00BA3203"/>
    <w:rsid w:val="00BD56C9"/>
    <w:rsid w:val="00BE57CB"/>
    <w:rsid w:val="00C11E00"/>
    <w:rsid w:val="00C46629"/>
    <w:rsid w:val="00C5496B"/>
    <w:rsid w:val="00C6779F"/>
    <w:rsid w:val="00C96F26"/>
    <w:rsid w:val="00CB633A"/>
    <w:rsid w:val="00CD4F89"/>
    <w:rsid w:val="00CF4E4A"/>
    <w:rsid w:val="00D01E5D"/>
    <w:rsid w:val="00D02313"/>
    <w:rsid w:val="00D1508B"/>
    <w:rsid w:val="00D6218D"/>
    <w:rsid w:val="00D651D1"/>
    <w:rsid w:val="00D778DD"/>
    <w:rsid w:val="00D9179C"/>
    <w:rsid w:val="00D977C3"/>
    <w:rsid w:val="00DB1CB0"/>
    <w:rsid w:val="00DB7876"/>
    <w:rsid w:val="00DC1432"/>
    <w:rsid w:val="00DC1BF5"/>
    <w:rsid w:val="00DC2001"/>
    <w:rsid w:val="00E22FDA"/>
    <w:rsid w:val="00E27C53"/>
    <w:rsid w:val="00E300A4"/>
    <w:rsid w:val="00E468BE"/>
    <w:rsid w:val="00E52043"/>
    <w:rsid w:val="00E6227B"/>
    <w:rsid w:val="00E622DF"/>
    <w:rsid w:val="00E87FC4"/>
    <w:rsid w:val="00EA2944"/>
    <w:rsid w:val="00EB531E"/>
    <w:rsid w:val="00EC109D"/>
    <w:rsid w:val="00EC2DDF"/>
    <w:rsid w:val="00ED5ACA"/>
    <w:rsid w:val="00EE0C70"/>
    <w:rsid w:val="00EE598B"/>
    <w:rsid w:val="00EF0A47"/>
    <w:rsid w:val="00F0194B"/>
    <w:rsid w:val="00F46169"/>
    <w:rsid w:val="00F77A20"/>
    <w:rsid w:val="00FB4C48"/>
    <w:rsid w:val="00FB7B72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0</TotalTime>
  <Pages>1</Pages>
  <Words>451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2025-05-16T07:26:00Z</dcterms:created>
  <dcterms:modified xsi:type="dcterms:W3CDTF">2025-05-28T06:12:00Z</dcterms:modified>
</cp:coreProperties>
</file>