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AE4F436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25286">
        <w:rPr>
          <w:rFonts w:asciiTheme="minorHAnsi" w:hAnsiTheme="minorHAnsi" w:cstheme="minorHAnsi"/>
          <w:sz w:val="22"/>
          <w:szCs w:val="22"/>
        </w:rPr>
        <w:t>Martina Baštanová</w:t>
      </w:r>
    </w:p>
    <w:p w14:paraId="01DAD7B2" w14:textId="3F6358D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25286">
        <w:rPr>
          <w:rFonts w:asciiTheme="minorHAnsi" w:hAnsiTheme="minorHAnsi" w:cstheme="minorHAnsi"/>
          <w:sz w:val="22"/>
          <w:szCs w:val="22"/>
        </w:rPr>
        <w:t>Ing. Roman Sklenár, Ph.D.</w:t>
      </w:r>
    </w:p>
    <w:p w14:paraId="43917A2A" w14:textId="4030965D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25286">
        <w:rPr>
          <w:rFonts w:cstheme="minorHAnsi"/>
        </w:rPr>
        <w:t>Prezentace účetní závěrky sestavené podle IFRS</w:t>
      </w:r>
    </w:p>
    <w:p w14:paraId="3F08876F" w14:textId="1A0D1428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2528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0A81C37" w:rsidR="000E094A" w:rsidRDefault="00A2528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603CE32B" w:rsidR="000E094A" w:rsidRPr="000E094A" w:rsidRDefault="00A2528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jsou stanoveny srozumitelně a odpovídají tématu práce. Studentka si stanovila nejen cíl analyzovat a pospat účetní závěrku podle IFRS</w:t>
            </w:r>
            <w:r w:rsidR="004325A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ale navíc i vyvodit dopady použití standardů a srovnání s českou legislativou a návrh doporučení.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1AE3D8A4" w:rsidR="008B781B" w:rsidRPr="000E094A" w:rsidRDefault="00A2528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Metody plně odpovídají cílům práce a postup je zvolen tak</w:t>
            </w:r>
            <w:r w:rsidR="004325A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aby došlo jeho naplnění.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250E23C" w:rsidR="000E094A" w:rsidRDefault="00D2459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31FAD442" w:rsidR="000E094A" w:rsidRPr="000E094A" w:rsidRDefault="00A2528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Rešerše je důkladně zpracovaná, rozebrané jsou konkrétní standardy, srovnání na českou legislativu a velice oceňuji i přístup kdy se studentka zabývá navrhovanou novelou zákona o účetnictví platnou pravděpodobně až od roku 2026.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60F0F41" w:rsidR="000E094A" w:rsidRDefault="00D2459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EADC928" w:rsidR="000E094A" w:rsidRPr="000E094A" w:rsidRDefault="0097535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pracuje s finančními výkazy společnosti a hodnotí aplikaci mezinárodních standardů. Je vhodně strukturovaná, navazuje na teoretickou rešerši a ilustrativně vysvětluje jednotlivé položky účetní závěrky.  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EF77110" w:rsidR="000E094A" w:rsidRDefault="00D2459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42A9AA0C" w:rsidR="000E094A" w:rsidRDefault="0097535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První část praktické části je propojením na analytickou část, kdy studentka hodnotí rozdíly IFRS a české účetní legislativy. Přínosem je vyčíslení dopadu na výsledek hospodaření. Oceňuji zaměření na dvě oblasti a to výnosy a leasingy.</w:t>
            </w:r>
          </w:p>
          <w:p w14:paraId="01ED6428" w14:textId="77777777" w:rsidR="0097535D" w:rsidRDefault="0097535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310AC616" w:rsidR="000E094A" w:rsidRPr="000E094A" w:rsidRDefault="0097535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 splnění cílů práce přispívá závěrečné hodnocení a doporučení pro analyzovanou společnost účtující v souladu s IFRS a také analýza dopadů </w:t>
            </w:r>
            <w:r w:rsidR="00D24596">
              <w:rPr>
                <w:rFonts w:cstheme="minorHAnsi"/>
              </w:rPr>
              <w:t>použív</w:t>
            </w:r>
            <w:r w:rsidR="004325A6">
              <w:rPr>
                <w:rFonts w:cstheme="minorHAnsi"/>
              </w:rPr>
              <w:t>á</w:t>
            </w:r>
            <w:r w:rsidR="00D24596">
              <w:rPr>
                <w:rFonts w:cstheme="minorHAnsi"/>
              </w:rPr>
              <w:t>ní IFRS v českém účetním prostředí.</w:t>
            </w:r>
            <w:r>
              <w:rPr>
                <w:rFonts w:cstheme="minorHAnsi"/>
              </w:rPr>
              <w:t xml:space="preserve">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B0E9078" w:rsidR="000E094A" w:rsidRDefault="00D2459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055E0EE4" w:rsidR="000E094A" w:rsidRPr="000E094A" w:rsidRDefault="00D2459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správně logicky provázána a kapitoly na sebe plynule navazují. Odborná terminologie a citace jsou aplikovány podle požadavků kladených na BP.  Práce je graficky doplněna o ukázky části z analyzovaných finančních výkazů společnosti.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1D41A2E" w:rsidR="009C7318" w:rsidRDefault="00D2459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516B52F5" w:rsidR="009D67D5" w:rsidRPr="000E094A" w:rsidRDefault="00D2459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Práce je aktuální z pohledu snahy aplikovat část IFRS do české účetní legislativy. Je vysoce kvalitně zpracována a analýza účetní závěrky důkladně provedena. Hodnotím proto výborně bez výhrad. 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081A1355" w:rsidR="0085398A" w:rsidRDefault="00D24596" w:rsidP="00D2459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Myslíte si, že je správné umožňovat </w:t>
      </w:r>
      <w:r w:rsidR="002D633F">
        <w:rPr>
          <w:rFonts w:cstheme="minorHAnsi"/>
        </w:rPr>
        <w:t xml:space="preserve">více českým společnostem účtovat podle IFRS? Pokud </w:t>
      </w:r>
      <w:r w:rsidR="004325A6">
        <w:rPr>
          <w:rFonts w:cstheme="minorHAnsi"/>
        </w:rPr>
        <w:t>a</w:t>
      </w:r>
      <w:r w:rsidR="002D633F">
        <w:rPr>
          <w:rFonts w:cstheme="minorHAnsi"/>
        </w:rPr>
        <w:t>no, co se musí stát, aby jim to bylo plně umožněno.</w:t>
      </w:r>
    </w:p>
    <w:p w14:paraId="038D9777" w14:textId="7BC862E8" w:rsidR="002D633F" w:rsidRDefault="002D633F" w:rsidP="00D2459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jsou zásadní bariéry společností, které v českém prostředí zvolí účtování podle IFRS?</w:t>
      </w:r>
    </w:p>
    <w:p w14:paraId="518750C5" w14:textId="6B645960" w:rsidR="002D633F" w:rsidRPr="00D24596" w:rsidRDefault="002D633F" w:rsidP="00D2459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Interpretoval</w:t>
      </w:r>
      <w:r w:rsidR="004325A6">
        <w:rPr>
          <w:rFonts w:cstheme="minorHAnsi"/>
        </w:rPr>
        <w:t>a</w:t>
      </w:r>
      <w:r>
        <w:rPr>
          <w:rFonts w:cstheme="minorHAnsi"/>
        </w:rPr>
        <w:t xml:space="preserve"> jste zmíněná doporučení s vedením společnosti/účetní. Jak se staví k např. k použití IAS 40 nebo ke komponentnímu odepisování?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0329A1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D633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D633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478A043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2D633F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E825DD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325A6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AC2D7B" w14:textId="77777777" w:rsidR="004E1C8C" w:rsidRDefault="004E1C8C" w:rsidP="00A40E93">
      <w:pPr>
        <w:spacing w:after="0" w:line="240" w:lineRule="auto"/>
      </w:pPr>
      <w:r>
        <w:separator/>
      </w:r>
    </w:p>
  </w:endnote>
  <w:endnote w:type="continuationSeparator" w:id="0">
    <w:p w14:paraId="1125F161" w14:textId="77777777" w:rsidR="004E1C8C" w:rsidRDefault="004E1C8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6EC3E3" w14:textId="77777777" w:rsidR="004E1C8C" w:rsidRDefault="004E1C8C" w:rsidP="00A40E93">
      <w:pPr>
        <w:spacing w:after="0" w:line="240" w:lineRule="auto"/>
      </w:pPr>
      <w:r>
        <w:separator/>
      </w:r>
    </w:p>
  </w:footnote>
  <w:footnote w:type="continuationSeparator" w:id="0">
    <w:p w14:paraId="6EB8612E" w14:textId="77777777" w:rsidR="004E1C8C" w:rsidRDefault="004E1C8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  <w:lang w:val="en-US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DD"/>
    <w:rsid w:val="00037B1A"/>
    <w:rsid w:val="000E094A"/>
    <w:rsid w:val="00173FE7"/>
    <w:rsid w:val="001900AB"/>
    <w:rsid w:val="0024258E"/>
    <w:rsid w:val="0029651C"/>
    <w:rsid w:val="002D633F"/>
    <w:rsid w:val="004325A6"/>
    <w:rsid w:val="004D378C"/>
    <w:rsid w:val="004E1C8C"/>
    <w:rsid w:val="005C4ACA"/>
    <w:rsid w:val="0067082B"/>
    <w:rsid w:val="00694399"/>
    <w:rsid w:val="0073639B"/>
    <w:rsid w:val="00750197"/>
    <w:rsid w:val="007553A6"/>
    <w:rsid w:val="0085398A"/>
    <w:rsid w:val="008B781B"/>
    <w:rsid w:val="008E2072"/>
    <w:rsid w:val="00974EA2"/>
    <w:rsid w:val="0097535D"/>
    <w:rsid w:val="00987B93"/>
    <w:rsid w:val="00992AFB"/>
    <w:rsid w:val="009C322A"/>
    <w:rsid w:val="009C7318"/>
    <w:rsid w:val="009D67D5"/>
    <w:rsid w:val="00A25286"/>
    <w:rsid w:val="00A40E93"/>
    <w:rsid w:val="00A7527E"/>
    <w:rsid w:val="00AC1ADA"/>
    <w:rsid w:val="00B14451"/>
    <w:rsid w:val="00BA16DD"/>
    <w:rsid w:val="00CA34A9"/>
    <w:rsid w:val="00CD12C3"/>
    <w:rsid w:val="00D24596"/>
    <w:rsid w:val="00D90835"/>
    <w:rsid w:val="00DC7D52"/>
    <w:rsid w:val="00E22423"/>
    <w:rsid w:val="00EF1720"/>
    <w:rsid w:val="00F330A4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46"/>
    <w:rsid w:val="000A4B88"/>
    <w:rsid w:val="00510546"/>
    <w:rsid w:val="00594CC3"/>
    <w:rsid w:val="005E083B"/>
    <w:rsid w:val="006761EA"/>
    <w:rsid w:val="00A00291"/>
    <w:rsid w:val="00A847FF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B7C15B1-AFBD-44AF-BB66-8236513B1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3759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2025-05-28T10:39:00Z</dcterms:created>
  <dcterms:modified xsi:type="dcterms:W3CDTF">2025-05-28T10:39:00Z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