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0F1AD8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E46CA">
        <w:rPr>
          <w:rFonts w:asciiTheme="minorHAnsi" w:hAnsiTheme="minorHAnsi" w:cstheme="minorHAnsi"/>
          <w:sz w:val="22"/>
          <w:szCs w:val="22"/>
        </w:rPr>
        <w:tab/>
      </w:r>
      <w:r w:rsidR="006E46CA">
        <w:rPr>
          <w:rFonts w:asciiTheme="minorHAnsi" w:hAnsiTheme="minorHAnsi" w:cstheme="minorHAnsi"/>
          <w:sz w:val="22"/>
          <w:szCs w:val="22"/>
        </w:rPr>
        <w:tab/>
      </w:r>
      <w:r w:rsidR="006E46CA">
        <w:rPr>
          <w:rFonts w:asciiTheme="minorHAnsi" w:hAnsiTheme="minorHAnsi" w:cstheme="minorHAnsi"/>
          <w:sz w:val="22"/>
          <w:szCs w:val="22"/>
        </w:rPr>
        <w:tab/>
        <w:t>Branislav Batka</w:t>
      </w:r>
    </w:p>
    <w:p w14:paraId="7BEB1D07" w14:textId="6998399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46CA">
        <w:rPr>
          <w:rFonts w:asciiTheme="minorHAnsi" w:hAnsiTheme="minorHAnsi" w:cstheme="minorHAnsi"/>
          <w:sz w:val="22"/>
          <w:szCs w:val="22"/>
        </w:rPr>
        <w:tab/>
        <w:t>Ing. Jana Přílučíková, Ph.D.</w:t>
      </w:r>
    </w:p>
    <w:p w14:paraId="05C5954D" w14:textId="2464576A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E46CA">
        <w:rPr>
          <w:rFonts w:cstheme="minorHAnsi"/>
        </w:rPr>
        <w:tab/>
      </w:r>
      <w:r w:rsidR="006E46CA">
        <w:rPr>
          <w:rFonts w:cstheme="minorHAnsi"/>
        </w:rPr>
        <w:tab/>
      </w:r>
      <w:r w:rsidR="006E46CA">
        <w:rPr>
          <w:rFonts w:cstheme="minorHAnsi"/>
        </w:rPr>
        <w:tab/>
      </w:r>
      <w:r w:rsidR="006E46CA">
        <w:rPr>
          <w:rFonts w:cstheme="minorHAnsi"/>
        </w:rPr>
        <w:tab/>
      </w:r>
      <w:r w:rsidR="0086210D" w:rsidRPr="0086210D">
        <w:rPr>
          <w:rFonts w:cstheme="minorHAnsi"/>
        </w:rPr>
        <w:t xml:space="preserve">Analýza výkonnosti portfolia tradičních aktiv a </w:t>
      </w:r>
      <w:proofErr w:type="spellStart"/>
      <w:r w:rsidR="0086210D" w:rsidRPr="0086210D">
        <w:rPr>
          <w:rFonts w:cstheme="minorHAnsi"/>
        </w:rPr>
        <w:t>kryptoaktiv</w:t>
      </w:r>
      <w:proofErr w:type="spellEnd"/>
    </w:p>
    <w:p w14:paraId="07FD52EA" w14:textId="47B24BC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10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7881111" w:rsidR="000E094A" w:rsidRDefault="00C531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925C2" w14:textId="14519B3B" w:rsidR="00C53121" w:rsidRDefault="0086210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Bakalářská práce má srozumitelně formulovaný cíl – analyzovat </w:t>
            </w:r>
            <w:r w:rsidR="00F2043A">
              <w:rPr>
                <w:rFonts w:cstheme="minorHAnsi"/>
                <w:i/>
                <w:sz w:val="20"/>
              </w:rPr>
              <w:t xml:space="preserve">výkonnost investičních portfolií složených z tradičních aktiv a </w:t>
            </w:r>
            <w:proofErr w:type="spellStart"/>
            <w:r w:rsidR="00F2043A">
              <w:rPr>
                <w:rFonts w:cstheme="minorHAnsi"/>
                <w:i/>
                <w:sz w:val="20"/>
              </w:rPr>
              <w:t>kr</w:t>
            </w:r>
            <w:r w:rsidR="002C72D5">
              <w:rPr>
                <w:rFonts w:cstheme="minorHAnsi"/>
                <w:i/>
                <w:sz w:val="20"/>
              </w:rPr>
              <w:t>y</w:t>
            </w:r>
            <w:r w:rsidR="00F2043A">
              <w:rPr>
                <w:rFonts w:cstheme="minorHAnsi"/>
                <w:i/>
                <w:sz w:val="20"/>
              </w:rPr>
              <w:t>ptoaktiv</w:t>
            </w:r>
            <w:proofErr w:type="spellEnd"/>
            <w:r w:rsidR="00F2043A">
              <w:rPr>
                <w:rFonts w:cstheme="minorHAnsi"/>
                <w:i/>
                <w:sz w:val="20"/>
              </w:rPr>
              <w:t xml:space="preserve">. Zvolené kvantitativní metody považuji za vhodně zvolené a adekvátní typu a zaměření bakalářské práce. </w:t>
            </w:r>
            <w:r w:rsidR="00C53121">
              <w:rPr>
                <w:rFonts w:cstheme="minorHAnsi"/>
                <w:i/>
                <w:sz w:val="20"/>
              </w:rPr>
              <w:t>Bakalářská práce a její metodický rámec podle mého názoru vede k naplnění vytyčených cílů adekvátně k typu závěrečné (bakalářské) práce.</w:t>
            </w:r>
          </w:p>
          <w:p w14:paraId="7FF48F4D" w14:textId="0DB93EE2" w:rsidR="002C72D5" w:rsidRPr="008B781B" w:rsidRDefault="002C72D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Oceňuji</w:t>
            </w:r>
            <w:r w:rsidR="00D40B44">
              <w:rPr>
                <w:rFonts w:cstheme="minorHAnsi"/>
                <w:i/>
                <w:sz w:val="20"/>
              </w:rPr>
              <w:t xml:space="preserve"> výběr tématu i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D40B44">
              <w:rPr>
                <w:rFonts w:cstheme="minorHAnsi"/>
                <w:i/>
                <w:sz w:val="20"/>
              </w:rPr>
              <w:t xml:space="preserve">styl zpracování práce. </w:t>
            </w:r>
          </w:p>
          <w:p w14:paraId="7ED3E311" w14:textId="77777777" w:rsidR="000E094A" w:rsidRPr="000E094A" w:rsidRDefault="000E094A" w:rsidP="00C5312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4962BAB" w:rsidR="000E094A" w:rsidRDefault="00D814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88A6A8" w14:textId="7B9CC73C" w:rsidR="000E094A" w:rsidRDefault="00097BBA" w:rsidP="00CA2A38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Obsah literární rešerše je vhodně strukturovaný. Autor práce cituje relevantní domácí i zahraniční odbornou literaturu</w:t>
            </w:r>
            <w:r w:rsidR="00CA2A38">
              <w:rPr>
                <w:rFonts w:cstheme="minorHAnsi"/>
                <w:i/>
                <w:sz w:val="20"/>
              </w:rPr>
              <w:t xml:space="preserve">, kterou cituje dle platné citační normy. </w:t>
            </w:r>
            <w:r w:rsidR="004F395B">
              <w:rPr>
                <w:rFonts w:cstheme="minorHAnsi"/>
                <w:i/>
                <w:sz w:val="20"/>
              </w:rPr>
              <w:t xml:space="preserve">Hlubší ukotvení </w:t>
            </w:r>
            <w:r w:rsidR="00A570F9">
              <w:rPr>
                <w:rFonts w:cstheme="minorHAnsi"/>
                <w:i/>
                <w:sz w:val="20"/>
              </w:rPr>
              <w:t>teoretické rešerše a diskuze v kontextu současné odborné literatury by pozvedla úroveň teoretické části.</w:t>
            </w:r>
            <w:r w:rsidR="00133AD6">
              <w:rPr>
                <w:rFonts w:cstheme="minorHAnsi"/>
                <w:i/>
                <w:sz w:val="20"/>
              </w:rPr>
              <w:t xml:space="preserve"> </w:t>
            </w:r>
            <w:r w:rsidR="00CF38A6">
              <w:rPr>
                <w:rFonts w:cstheme="minorHAnsi"/>
                <w:i/>
                <w:sz w:val="20"/>
              </w:rPr>
              <w:t xml:space="preserve">Část věnovaná rizikům mohla být zpracována více do hloubky. </w:t>
            </w:r>
          </w:p>
          <w:p w14:paraId="7B260597" w14:textId="16FC17F3" w:rsidR="00CA2A38" w:rsidRPr="000E094A" w:rsidRDefault="00CA2A38" w:rsidP="00CA2A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632B763" w:rsidR="000E094A" w:rsidRDefault="00E470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58E903E6" w:rsidR="000E094A" w:rsidRPr="00E470A6" w:rsidRDefault="00CA2A3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Analytická část vhodně navazuje na teoretická východiska. Postup aplikace metod byl podle mého názoru vhodně popsán</w:t>
            </w:r>
            <w:r w:rsidR="00E470A6">
              <w:rPr>
                <w:rFonts w:cstheme="minorHAnsi"/>
                <w:i/>
                <w:sz w:val="20"/>
              </w:rPr>
              <w:t xml:space="preserve"> a vede k souhrnnému zhodnocení současného stavu. Závěry analýz jsou dostatečně podloženy. </w:t>
            </w:r>
            <w:r w:rsidR="00794434">
              <w:rPr>
                <w:rFonts w:cstheme="minorHAnsi"/>
                <w:i/>
                <w:sz w:val="20"/>
              </w:rPr>
              <w:t>Selekce aktiv do portfolií byla vhodně zdůvodněna.</w:t>
            </w:r>
          </w:p>
          <w:p w14:paraId="303103B0" w14:textId="77777777" w:rsidR="000E094A" w:rsidRPr="000E094A" w:rsidRDefault="000E094A" w:rsidP="00E470A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0B1B08C8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1AEEE2A" w:rsidR="000E094A" w:rsidRDefault="00EE38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BD1C1D" w14:textId="68AE0BDE" w:rsidR="00CF5219" w:rsidRDefault="00CF521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Návrhová část navazuje vhodně na teoretická východiska a výsledky analytické části, závěry jsou </w:t>
            </w:r>
            <w:r w:rsidR="00E44899">
              <w:rPr>
                <w:rFonts w:cstheme="minorHAnsi"/>
                <w:i/>
                <w:sz w:val="20"/>
              </w:rPr>
              <w:t>podloženy vhodnými argumenty</w:t>
            </w:r>
            <w:r w:rsidR="00A570F9">
              <w:rPr>
                <w:rFonts w:cstheme="minorHAnsi"/>
                <w:i/>
                <w:sz w:val="20"/>
              </w:rPr>
              <w:t xml:space="preserve"> a </w:t>
            </w:r>
            <w:r w:rsidR="008F7E04">
              <w:rPr>
                <w:rFonts w:cstheme="minorHAnsi"/>
                <w:i/>
                <w:sz w:val="20"/>
              </w:rPr>
              <w:t>přehledně v práci prezentovány</w:t>
            </w:r>
            <w:r w:rsidR="00E44899">
              <w:rPr>
                <w:rFonts w:cstheme="minorHAnsi"/>
                <w:i/>
                <w:sz w:val="20"/>
              </w:rPr>
              <w:t>. Návrhová část mohla být rozšířena o diskusi a širší implikace pro investory</w:t>
            </w:r>
            <w:r w:rsidR="00EE38E2">
              <w:rPr>
                <w:rFonts w:cstheme="minorHAnsi"/>
                <w:i/>
                <w:sz w:val="20"/>
              </w:rPr>
              <w:t xml:space="preserve">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CE5D4A" w:rsidR="000E094A" w:rsidRDefault="00EE38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7600E1DD" w:rsidR="000E094A" w:rsidRPr="000E094A" w:rsidRDefault="00EE38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Text práce je logicky provázán, autor používá odbornou terminologii správně. Předepsaná citační norma je dodržena. Práce má odpovídající grafickou i jazykovou úroveň. </w:t>
            </w:r>
            <w:r w:rsidR="00695ABA">
              <w:rPr>
                <w:rFonts w:cstheme="minorHAnsi"/>
                <w:i/>
                <w:sz w:val="20"/>
              </w:rPr>
              <w:t>Cíle práce byly splněny.</w:t>
            </w:r>
            <w:r w:rsidR="00DA3D09">
              <w:rPr>
                <w:rFonts w:cstheme="minorHAnsi"/>
                <w:i/>
                <w:sz w:val="20"/>
              </w:rPr>
              <w:t xml:space="preserve"> Vzorce by měly být číslovány.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p w14:paraId="397FADAB" w14:textId="77777777" w:rsidR="002C72D5" w:rsidRDefault="002C72D5" w:rsidP="00A40E93">
      <w:pPr>
        <w:jc w:val="both"/>
        <w:rPr>
          <w:rFonts w:cstheme="minorHAnsi"/>
        </w:rPr>
      </w:pPr>
    </w:p>
    <w:p w14:paraId="283C2300" w14:textId="77777777" w:rsidR="002C72D5" w:rsidRDefault="002C72D5" w:rsidP="00A40E93">
      <w:pPr>
        <w:jc w:val="both"/>
        <w:rPr>
          <w:rFonts w:cstheme="minorHAnsi"/>
        </w:rPr>
      </w:pPr>
    </w:p>
    <w:p w14:paraId="6CDDCAA9" w14:textId="77777777" w:rsidR="002C72D5" w:rsidRDefault="002C72D5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4A888FF" w:rsidR="009C7318" w:rsidRDefault="001179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40763F83" w:rsidR="00F92C79" w:rsidRPr="000E094A" w:rsidRDefault="00EE38E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základě uvedených argumentů navrhuji celkovou známku </w:t>
            </w:r>
            <w:r w:rsidRPr="00794434">
              <w:rPr>
                <w:rFonts w:cstheme="minorHAnsi"/>
                <w:b/>
                <w:bCs/>
              </w:rPr>
              <w:t>B</w:t>
            </w:r>
            <w:r>
              <w:rPr>
                <w:rFonts w:cstheme="minorHAnsi"/>
              </w:rPr>
              <w:t xml:space="preserve"> a práci doporučuji k obhajobě.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1934362" w:rsidR="009C7318" w:rsidRDefault="00695AB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95ABA">
        <w:rPr>
          <w:rFonts w:cstheme="minorHAnsi"/>
        </w:rPr>
        <w:t xml:space="preserve">Co podle </w:t>
      </w:r>
      <w:r w:rsidR="00256C4E">
        <w:rPr>
          <w:rFonts w:cstheme="minorHAnsi"/>
        </w:rPr>
        <w:t>V</w:t>
      </w:r>
      <w:r w:rsidRPr="00695ABA">
        <w:rPr>
          <w:rFonts w:cstheme="minorHAnsi"/>
        </w:rPr>
        <w:t>ás nejvíce ovlivnilo výkonnost portfolia s kryptoměnami v daném období?</w:t>
      </w:r>
    </w:p>
    <w:p w14:paraId="09E841C7" w14:textId="62DE1489" w:rsidR="00D1612E" w:rsidRDefault="006B3E1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B3E1C">
        <w:rPr>
          <w:rFonts w:cstheme="minorHAnsi"/>
        </w:rPr>
        <w:t>Proč si myslíte, že právě kombinace Bitcoinu a zlata vedla k nejpříznivějšímu poměru výnosu k</w:t>
      </w:r>
      <w:r w:rsidR="006A16CA">
        <w:rPr>
          <w:rFonts w:cstheme="minorHAnsi"/>
        </w:rPr>
        <w:t> </w:t>
      </w:r>
      <w:r w:rsidRPr="006B3E1C">
        <w:rPr>
          <w:rFonts w:cstheme="minorHAnsi"/>
        </w:rPr>
        <w:t>riziku</w:t>
      </w:r>
      <w:r w:rsidR="006A16CA">
        <w:rPr>
          <w:rFonts w:cstheme="minorHAnsi"/>
        </w:rPr>
        <w:t xml:space="preserve"> v daném období</w:t>
      </w:r>
      <w:r w:rsidRPr="006B3E1C">
        <w:rPr>
          <w:rFonts w:cstheme="minorHAnsi"/>
        </w:rPr>
        <w:t>?</w:t>
      </w:r>
      <w:r w:rsidR="006A16CA">
        <w:rPr>
          <w:rFonts w:cstheme="minorHAnsi"/>
        </w:rPr>
        <w:t xml:space="preserve"> </w:t>
      </w:r>
      <w:r w:rsidR="006A16CA" w:rsidRPr="006A16CA">
        <w:rPr>
          <w:rFonts w:cstheme="minorHAnsi"/>
        </w:rPr>
        <w:t>Myslíte si, že si kombinace Bitcoinu a zlata udrží příznivý výnosově-rizikový profil i v</w:t>
      </w:r>
      <w:r w:rsidR="006A16CA">
        <w:rPr>
          <w:rFonts w:cstheme="minorHAnsi"/>
        </w:rPr>
        <w:t xml:space="preserve"> blízké</w:t>
      </w:r>
      <w:r w:rsidR="006A16CA" w:rsidRPr="006A16CA">
        <w:rPr>
          <w:rFonts w:cstheme="minorHAnsi"/>
        </w:rPr>
        <w:t xml:space="preserve"> budoucnosti?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8F2921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D6A1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D6A1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962E1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D6A15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7ACE1" w14:textId="77777777" w:rsidR="004E73F2" w:rsidRDefault="004E73F2" w:rsidP="00A40E93">
      <w:pPr>
        <w:spacing w:after="0" w:line="240" w:lineRule="auto"/>
      </w:pPr>
      <w:r>
        <w:separator/>
      </w:r>
    </w:p>
  </w:endnote>
  <w:endnote w:type="continuationSeparator" w:id="0">
    <w:p w14:paraId="09CF8093" w14:textId="77777777" w:rsidR="004E73F2" w:rsidRDefault="004E73F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41425" w14:textId="77777777" w:rsidR="004E73F2" w:rsidRDefault="004E73F2" w:rsidP="00A40E93">
      <w:pPr>
        <w:spacing w:after="0" w:line="240" w:lineRule="auto"/>
      </w:pPr>
      <w:r>
        <w:separator/>
      </w:r>
    </w:p>
  </w:footnote>
  <w:footnote w:type="continuationSeparator" w:id="0">
    <w:p w14:paraId="556A6A95" w14:textId="77777777" w:rsidR="004E73F2" w:rsidRDefault="004E73F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wtTA0MjUwNzIxMTVT0lEKTi0uzszPAykwqgUAbk8jEywAAAA="/>
  </w:docVars>
  <w:rsids>
    <w:rsidRoot w:val="00BA16DD"/>
    <w:rsid w:val="00025BF3"/>
    <w:rsid w:val="00097BBA"/>
    <w:rsid w:val="000B0B5F"/>
    <w:rsid w:val="000E094A"/>
    <w:rsid w:val="00112356"/>
    <w:rsid w:val="001179C0"/>
    <w:rsid w:val="00133AD6"/>
    <w:rsid w:val="001345C0"/>
    <w:rsid w:val="0016512B"/>
    <w:rsid w:val="0024258E"/>
    <w:rsid w:val="00256C4E"/>
    <w:rsid w:val="0029651C"/>
    <w:rsid w:val="002C72D5"/>
    <w:rsid w:val="004D378C"/>
    <w:rsid w:val="004E73F2"/>
    <w:rsid w:val="004F395B"/>
    <w:rsid w:val="005A3B4A"/>
    <w:rsid w:val="005C4ACA"/>
    <w:rsid w:val="005D7F06"/>
    <w:rsid w:val="0067082B"/>
    <w:rsid w:val="00692395"/>
    <w:rsid w:val="00694399"/>
    <w:rsid w:val="00695ABA"/>
    <w:rsid w:val="006A16CA"/>
    <w:rsid w:val="006B3E1C"/>
    <w:rsid w:val="006D6A15"/>
    <w:rsid w:val="006E46CA"/>
    <w:rsid w:val="0073639B"/>
    <w:rsid w:val="007553A6"/>
    <w:rsid w:val="00756BA4"/>
    <w:rsid w:val="00794434"/>
    <w:rsid w:val="007F1BC8"/>
    <w:rsid w:val="008023EC"/>
    <w:rsid w:val="0085398A"/>
    <w:rsid w:val="0086210D"/>
    <w:rsid w:val="008B781B"/>
    <w:rsid w:val="008C7285"/>
    <w:rsid w:val="008F7E04"/>
    <w:rsid w:val="00974EA2"/>
    <w:rsid w:val="00987B93"/>
    <w:rsid w:val="009C322A"/>
    <w:rsid w:val="009C7318"/>
    <w:rsid w:val="00A40E93"/>
    <w:rsid w:val="00A570F9"/>
    <w:rsid w:val="00A7527E"/>
    <w:rsid w:val="00A87673"/>
    <w:rsid w:val="00B14451"/>
    <w:rsid w:val="00B3463F"/>
    <w:rsid w:val="00BA16DD"/>
    <w:rsid w:val="00C27492"/>
    <w:rsid w:val="00C53121"/>
    <w:rsid w:val="00CA2A38"/>
    <w:rsid w:val="00CA34A9"/>
    <w:rsid w:val="00CD12C3"/>
    <w:rsid w:val="00CE55BD"/>
    <w:rsid w:val="00CF04CC"/>
    <w:rsid w:val="00CF38A6"/>
    <w:rsid w:val="00CF5219"/>
    <w:rsid w:val="00D1612E"/>
    <w:rsid w:val="00D40B44"/>
    <w:rsid w:val="00D81413"/>
    <w:rsid w:val="00DA3D09"/>
    <w:rsid w:val="00DC7D52"/>
    <w:rsid w:val="00E22423"/>
    <w:rsid w:val="00E44899"/>
    <w:rsid w:val="00E470A6"/>
    <w:rsid w:val="00E72BC1"/>
    <w:rsid w:val="00E7633F"/>
    <w:rsid w:val="00EE38E2"/>
    <w:rsid w:val="00EF1720"/>
    <w:rsid w:val="00F2043A"/>
    <w:rsid w:val="00F5526A"/>
    <w:rsid w:val="00F55D8F"/>
    <w:rsid w:val="00F92C79"/>
    <w:rsid w:val="00FB721A"/>
    <w:rsid w:val="00FC2852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13331"/>
    <w:rsid w:val="00510546"/>
    <w:rsid w:val="005E083B"/>
    <w:rsid w:val="007679FC"/>
    <w:rsid w:val="0083016C"/>
    <w:rsid w:val="008C7285"/>
    <w:rsid w:val="00986CC7"/>
    <w:rsid w:val="00A7255F"/>
    <w:rsid w:val="00CF04CC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2025-05-31T18:06:00Z</dcterms:created>
  <dcterms:modified xsi:type="dcterms:W3CDTF">2025-05-31T18:06:00Z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