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1029D1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36C53">
        <w:rPr>
          <w:rFonts w:asciiTheme="minorHAnsi" w:hAnsiTheme="minorHAnsi" w:cstheme="minorHAnsi"/>
          <w:sz w:val="22"/>
          <w:szCs w:val="22"/>
        </w:rPr>
        <w:t>Anita Daňková</w:t>
      </w:r>
    </w:p>
    <w:p w14:paraId="7BEB1D07" w14:textId="2AB7E5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A6728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5C5954D" w14:textId="3A755F1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C2B1C">
        <w:rPr>
          <w:rFonts w:cstheme="minorHAnsi"/>
        </w:rPr>
        <w:t xml:space="preserve">Analýza </w:t>
      </w:r>
      <w:r w:rsidR="00E36C53">
        <w:rPr>
          <w:rFonts w:cstheme="minorHAnsi"/>
        </w:rPr>
        <w:t>online marketingové komunikace vybraného e-shopu</w:t>
      </w:r>
    </w:p>
    <w:p w14:paraId="07FD52EA" w14:textId="0F7A6EA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A672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DA6728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B2DDC54" w:rsidR="000E094A" w:rsidRDefault="00B70A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3FC9BF3" w:rsidR="008B781B" w:rsidRPr="000E094A" w:rsidRDefault="008D79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D79E4">
              <w:rPr>
                <w:rFonts w:cstheme="minorHAnsi"/>
              </w:rPr>
              <w:t>Hlavní i dílčí cíle jsou formulovány srozumitelně a odpovídají zvolenému tématu práce. Postup zpracování je popsán přehledně a zvolené metody jsou adekvátní k dosažení stanovených cílů.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50431CA" w:rsidR="000E094A" w:rsidRDefault="001967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3F34D575" w:rsidR="00987B93" w:rsidRDefault="001967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obsahuje prvky literární rešerše. Zvolené zdroje jsou vhodné. Autorka volila převážně zdroje domácí. Práce je citována adekvátním způsobem.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275637" w:rsidR="000E094A" w:rsidRDefault="004635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2DE60CD" w14:textId="69342D61" w:rsidR="008D79E4" w:rsidRDefault="008D79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D79E4">
              <w:rPr>
                <w:rFonts w:cstheme="minorHAnsi"/>
              </w:rPr>
              <w:t xml:space="preserve">Analytická část je zahájena představením společnosti a </w:t>
            </w:r>
            <w:r>
              <w:rPr>
                <w:rFonts w:cstheme="minorHAnsi"/>
              </w:rPr>
              <w:t>analýzou</w:t>
            </w:r>
            <w:r w:rsidRPr="008D79E4">
              <w:rPr>
                <w:rFonts w:cstheme="minorHAnsi"/>
              </w:rPr>
              <w:t xml:space="preserve"> návštěvnosti e-shopu. Následuje analýza marketingového mixu, přičemž části věnované produktu, ceně a distribuci mají spíše popisný charakter. Naopak analýza </w:t>
            </w:r>
            <w:r>
              <w:rPr>
                <w:rFonts w:cstheme="minorHAnsi"/>
              </w:rPr>
              <w:t>komunikace</w:t>
            </w:r>
            <w:r w:rsidRPr="008D79E4">
              <w:rPr>
                <w:rFonts w:cstheme="minorHAnsi"/>
              </w:rPr>
              <w:t xml:space="preserve"> je zpracována podrobně. V části zaměřené na konkurenci </w:t>
            </w:r>
            <w:r>
              <w:rPr>
                <w:rFonts w:cstheme="minorHAnsi"/>
              </w:rPr>
              <w:t>bych uvítal analýzu formou benchmarkingu</w:t>
            </w:r>
            <w:r w:rsidRPr="008D79E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Zde autorka uvádí, že bude analyzovat marketingový mix konkurence</w:t>
            </w:r>
            <w:r w:rsidRPr="008D79E4">
              <w:rPr>
                <w:rFonts w:cstheme="minorHAnsi"/>
              </w:rPr>
              <w:t>, opět převažuje spíše popisný přístup. Analytická část je zakončena SWOT analýzou.</w:t>
            </w:r>
          </w:p>
          <w:p w14:paraId="38049001" w14:textId="77777777" w:rsidR="008D79E4" w:rsidRPr="000E094A" w:rsidRDefault="008D79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9651FC5" w:rsidR="000E094A" w:rsidRDefault="005E0C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2E39583F" w:rsidR="009C7318" w:rsidRPr="000E094A" w:rsidRDefault="005E0C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navazuje na výsledky analýz. A</w:t>
            </w:r>
            <w:r w:rsidR="007E1F85">
              <w:rPr>
                <w:rFonts w:cstheme="minorHAnsi"/>
              </w:rPr>
              <w:t xml:space="preserve">utorka zde popisuje návrhy, které firma pravděpodobně </w:t>
            </w:r>
            <w:r>
              <w:rPr>
                <w:rFonts w:cstheme="minorHAnsi"/>
              </w:rPr>
              <w:t>ne</w:t>
            </w:r>
            <w:r w:rsidR="007E1F85">
              <w:rPr>
                <w:rFonts w:cstheme="minorHAnsi"/>
              </w:rPr>
              <w:t xml:space="preserve">využívá (viz. otázky k obhajobě). </w:t>
            </w:r>
            <w:r>
              <w:rPr>
                <w:rFonts w:cstheme="minorHAnsi"/>
              </w:rPr>
              <w:t>N</w:t>
            </w:r>
            <w:r w:rsidR="007E1F85">
              <w:rPr>
                <w:rFonts w:cstheme="minorHAnsi"/>
              </w:rPr>
              <w:t>ávrhy mohly být podloženy marketingovým výzkumem (např. dotazováním).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D77A628" w:rsidR="000E094A" w:rsidRDefault="005E0C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02DFF7F" w14:textId="451F81E4" w:rsidR="00C63D33" w:rsidRDefault="00C63D3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3D33">
              <w:rPr>
                <w:rFonts w:cstheme="minorHAnsi"/>
              </w:rPr>
              <w:t>Práce obsahuje drobné formální nedostatky (např. znak procent</w:t>
            </w:r>
            <w:r>
              <w:rPr>
                <w:rFonts w:cstheme="minorHAnsi"/>
              </w:rPr>
              <w:t>a</w:t>
            </w:r>
            <w:r w:rsidRPr="00C63D33">
              <w:rPr>
                <w:rFonts w:cstheme="minorHAnsi"/>
              </w:rPr>
              <w:t xml:space="preserve"> umístěný na novém řádku). Jinak autorka používá odpovídající odbornou terminologii a práce je adekvátně citována. Jazyková i grafická úroveň odpovídají požadavkům na vysokoškolskou práci.</w:t>
            </w:r>
          </w:p>
          <w:p w14:paraId="5A53EA96" w14:textId="77777777" w:rsidR="00C63D33" w:rsidRPr="000E094A" w:rsidRDefault="00C63D3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D43F60D" w:rsidR="009C7318" w:rsidRDefault="005E0C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14B7041E" w:rsidR="00F92C79" w:rsidRPr="000E094A" w:rsidRDefault="00C63D33" w:rsidP="00E36C5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C63D33">
              <w:rPr>
                <w:rFonts w:cstheme="minorHAnsi"/>
              </w:rPr>
              <w:t>Práce je celkově zpracována na velmi dobré úrovni.</w:t>
            </w:r>
            <w:r>
              <w:rPr>
                <w:rFonts w:cstheme="minorHAnsi"/>
              </w:rPr>
              <w:t xml:space="preserve"> P</w:t>
            </w:r>
            <w:r w:rsidR="005E0CD6">
              <w:rPr>
                <w:rFonts w:cstheme="minorHAnsi"/>
              </w:rPr>
              <w:t xml:space="preserve">řipomínky jsem měl akorát k analytické části, kde některé analýzy </w:t>
            </w:r>
            <w:r>
              <w:rPr>
                <w:rFonts w:cstheme="minorHAnsi"/>
              </w:rPr>
              <w:t>působí spíše popisně.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34F7AEE" w14:textId="3CFF157F" w:rsidR="00832F93" w:rsidRPr="00832F93" w:rsidRDefault="00832F93" w:rsidP="00832F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32F93">
        <w:rPr>
          <w:rFonts w:cstheme="minorHAnsi"/>
        </w:rPr>
        <w:t>V návrzích uvádíte rozšíření druhů dopravy. Nemyslíte si, že by to mohlo být zbytečné, vzhledem k tomu, že PPL nabízí aktuálně nízké ceny ve srovnání s DPD a GLS a Zásilkovna pokrývá velké množství výdejních míst spolu s PPL?</w:t>
      </w:r>
    </w:p>
    <w:p w14:paraId="79D9181F" w14:textId="65DBBF0B" w:rsidR="00832F93" w:rsidRDefault="00832F93" w:rsidP="007E1F8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32F93">
        <w:rPr>
          <w:rFonts w:cstheme="minorHAnsi"/>
        </w:rPr>
        <w:t xml:space="preserve">Dále uvádíte, že firma by měla </w:t>
      </w:r>
      <w:r>
        <w:rPr>
          <w:rFonts w:cstheme="minorHAnsi"/>
        </w:rPr>
        <w:t>umožnit</w:t>
      </w:r>
      <w:r w:rsidRPr="00832F93">
        <w:rPr>
          <w:rFonts w:cstheme="minorHAnsi"/>
        </w:rPr>
        <w:t xml:space="preserve"> platby přes Google Pay a Apple Pay. Pokud však firma již používá</w:t>
      </w:r>
      <w:r>
        <w:rPr>
          <w:rFonts w:cstheme="minorHAnsi"/>
        </w:rPr>
        <w:t xml:space="preserve"> služeb firmy</w:t>
      </w:r>
      <w:r w:rsidRPr="00832F93">
        <w:rPr>
          <w:rFonts w:cstheme="minorHAnsi"/>
        </w:rPr>
        <w:t xml:space="preserve"> Comgate pro platby kartou, </w:t>
      </w:r>
      <w:r>
        <w:rPr>
          <w:rFonts w:cstheme="minorHAnsi"/>
        </w:rPr>
        <w:t>není možné, že už firma tyto možnosti využívá</w:t>
      </w:r>
      <w:r w:rsidRPr="00832F93">
        <w:rPr>
          <w:rFonts w:cstheme="minorHAnsi"/>
        </w:rPr>
        <w:t>? Nebo má firma interně tyto možnosti zablokované?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F8CC0D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C0608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0608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D3E76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0608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FA6E" w14:textId="77777777" w:rsidR="00704489" w:rsidRDefault="00704489" w:rsidP="00A40E93">
      <w:pPr>
        <w:spacing w:after="0" w:line="240" w:lineRule="auto"/>
      </w:pPr>
      <w:r>
        <w:separator/>
      </w:r>
    </w:p>
  </w:endnote>
  <w:endnote w:type="continuationSeparator" w:id="0">
    <w:p w14:paraId="63B0F670" w14:textId="77777777" w:rsidR="00704489" w:rsidRDefault="0070448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0742" w14:textId="77777777" w:rsidR="00704489" w:rsidRDefault="00704489" w:rsidP="00A40E93">
      <w:pPr>
        <w:spacing w:after="0" w:line="240" w:lineRule="auto"/>
      </w:pPr>
      <w:r>
        <w:separator/>
      </w:r>
    </w:p>
  </w:footnote>
  <w:footnote w:type="continuationSeparator" w:id="0">
    <w:p w14:paraId="62F3D016" w14:textId="77777777" w:rsidR="00704489" w:rsidRDefault="0070448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01133">
    <w:abstractNumId w:val="0"/>
  </w:num>
  <w:num w:numId="2" w16cid:durableId="1854805795">
    <w:abstractNumId w:val="3"/>
  </w:num>
  <w:num w:numId="3" w16cid:durableId="1614286015">
    <w:abstractNumId w:val="2"/>
  </w:num>
  <w:num w:numId="4" w16cid:durableId="998072172">
    <w:abstractNumId w:val="1"/>
  </w:num>
  <w:num w:numId="5" w16cid:durableId="838274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316E"/>
    <w:rsid w:val="00025BF3"/>
    <w:rsid w:val="000E094A"/>
    <w:rsid w:val="00112356"/>
    <w:rsid w:val="0019671A"/>
    <w:rsid w:val="001D1E0F"/>
    <w:rsid w:val="0024258E"/>
    <w:rsid w:val="0029651C"/>
    <w:rsid w:val="00345F05"/>
    <w:rsid w:val="00463522"/>
    <w:rsid w:val="00482398"/>
    <w:rsid w:val="004839AC"/>
    <w:rsid w:val="004D378C"/>
    <w:rsid w:val="005A3B4A"/>
    <w:rsid w:val="005C2B1C"/>
    <w:rsid w:val="005C4ACA"/>
    <w:rsid w:val="005E0CD6"/>
    <w:rsid w:val="0067082B"/>
    <w:rsid w:val="00694399"/>
    <w:rsid w:val="00696CD7"/>
    <w:rsid w:val="00704489"/>
    <w:rsid w:val="0073639B"/>
    <w:rsid w:val="007553A6"/>
    <w:rsid w:val="007E1F85"/>
    <w:rsid w:val="007E4CD1"/>
    <w:rsid w:val="007F1BC8"/>
    <w:rsid w:val="00803938"/>
    <w:rsid w:val="00832F93"/>
    <w:rsid w:val="0085398A"/>
    <w:rsid w:val="008B781B"/>
    <w:rsid w:val="008D79E4"/>
    <w:rsid w:val="00974EA2"/>
    <w:rsid w:val="00987B93"/>
    <w:rsid w:val="009C322A"/>
    <w:rsid w:val="009C7318"/>
    <w:rsid w:val="00A40E93"/>
    <w:rsid w:val="00A7527E"/>
    <w:rsid w:val="00A82FA4"/>
    <w:rsid w:val="00A908D7"/>
    <w:rsid w:val="00AF35B5"/>
    <w:rsid w:val="00B14451"/>
    <w:rsid w:val="00B64D16"/>
    <w:rsid w:val="00B70A32"/>
    <w:rsid w:val="00BA16DD"/>
    <w:rsid w:val="00BB06E8"/>
    <w:rsid w:val="00C06085"/>
    <w:rsid w:val="00C27492"/>
    <w:rsid w:val="00C63D33"/>
    <w:rsid w:val="00CA34A9"/>
    <w:rsid w:val="00CD12C3"/>
    <w:rsid w:val="00CE55BD"/>
    <w:rsid w:val="00DA6728"/>
    <w:rsid w:val="00DC7D52"/>
    <w:rsid w:val="00DF2B83"/>
    <w:rsid w:val="00E168CA"/>
    <w:rsid w:val="00E22423"/>
    <w:rsid w:val="00E36C53"/>
    <w:rsid w:val="00E7633F"/>
    <w:rsid w:val="00E840F9"/>
    <w:rsid w:val="00EF1720"/>
    <w:rsid w:val="00F06DA7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6962"/>
    <w:rsid w:val="00155F04"/>
    <w:rsid w:val="00345F05"/>
    <w:rsid w:val="004839AC"/>
    <w:rsid w:val="00510546"/>
    <w:rsid w:val="005E083B"/>
    <w:rsid w:val="00696CD7"/>
    <w:rsid w:val="00840E12"/>
    <w:rsid w:val="00915C6C"/>
    <w:rsid w:val="00986CC7"/>
    <w:rsid w:val="00A7255F"/>
    <w:rsid w:val="00DB2441"/>
    <w:rsid w:val="00E761BF"/>
    <w:rsid w:val="00E840F9"/>
    <w:rsid w:val="00F0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599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20</cp:revision>
  <cp:lastPrinted>2022-03-14T11:55:00Z</cp:lastPrinted>
  <dcterms:created xsi:type="dcterms:W3CDTF">2022-03-14T14:31:00Z</dcterms:created>
  <dcterms:modified xsi:type="dcterms:W3CDTF">2025-06-01T15:08:00Z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