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0DE24E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B4918">
        <w:rPr>
          <w:rFonts w:asciiTheme="minorHAnsi" w:hAnsiTheme="minorHAnsi" w:cstheme="minorHAnsi"/>
          <w:sz w:val="22"/>
          <w:szCs w:val="22"/>
        </w:rPr>
        <w:t>Radim Nakládal</w:t>
      </w:r>
    </w:p>
    <w:p w14:paraId="01DAD7B2" w14:textId="26ABBF6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B4918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1544E3A1" w:rsidR="00037B1A" w:rsidRDefault="00037B1A" w:rsidP="002B491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B4918" w:rsidRPr="002B4918">
        <w:rPr>
          <w:rFonts w:cstheme="minorHAnsi"/>
        </w:rPr>
        <w:t>Behaviorální finance a jejich vliv na investiční rozhodování</w:t>
      </w:r>
    </w:p>
    <w:p w14:paraId="3F08876F" w14:textId="617F745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B491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2B4918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246DC1" w:rsidR="000E094A" w:rsidRDefault="004449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53F8BF0" w:rsidR="000E094A" w:rsidRPr="000E094A" w:rsidRDefault="004449F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srozumitelně a logicky formulován. Jednotlivé metody jsou představeny v příslušné kapitole. Cíl práce je v souladu se zásadami i názvem. Autor zvolil vhodné metody pro dosažení cílů BP.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D709D5A" w:rsidR="000E094A" w:rsidRDefault="004449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18FDE44" w:rsidR="000E094A" w:rsidRPr="000E094A" w:rsidRDefault="004449F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svým je svým obsahem i strukturou na výborné úrovni (resp. na úrovni diplomové práci) a je zaměřena systematicky na všechny důležité aspekty vybrané problematiky. Literární rešerše je adekvátně kritická. Autor využívá přiměřené množství relevantních a kvalitních zdrojů (primárně zahraniční zdroje), včetně řady článků z odborných journalů, které jsou adekvátně citovány.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BEEDDAF" w:rsidR="000E094A" w:rsidRDefault="009A2E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88FA70A" w:rsidR="000E094A" w:rsidRPr="000E094A" w:rsidRDefault="004449F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Jedná se o výzkumnou bakalářskou práci (primárně hodnocenou v dalším z kritérií). Analytické prvky se objevují v případě interpretace výsledků z dotazníkového šetření s pomocí popisné statistiky. Tato interpretace je přehledná, dostatečně podložená a </w:t>
            </w:r>
            <w:r w:rsidR="009A2E32">
              <w:rPr>
                <w:rFonts w:cstheme="minorHAnsi"/>
              </w:rPr>
              <w:t>je zde patrná jasná návaznost na teoretickou část. Náročnost sběru dat je středně obtížná, stejně tak jejich zpracování a interpretace.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CA7B43" w:rsidR="000E094A" w:rsidRDefault="009A2E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7E746EF" w:rsidR="000E094A" w:rsidRPr="000E094A" w:rsidRDefault="009A2E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Výzkumná část představuje hlavní náplň praktické části. Autor nejprve představil parametry dotazníkového šetření a konstrukci dotazníku. Drobná nepřesnost je patrná při uvedení vědecké hypotézy. V kapitole 9 se autor zabývá interpretací zjištěných výsledků (viz analytická část) a především adekvátně diskutuje získané výsledky a provádí jejich zhodnocení porovnáním s poznatky z literatury. Výzkum je velmi obsáhlý, autor uvádí 25 otázek v dotazníku a zaměřuje se na velké množství behaviorálních zkreslení. Jednotlivé otázky jsou výborně nastaveny (s ohledem na formulaci otázky, což je v případě behaviorálních zkreslení zásadní) a autor tak může ověřit platnost jednotlivých teoretických předpokladů. Respondenti byly navíc po vyplnění dotazníku </w:t>
            </w:r>
            <w:r w:rsidR="0016367E">
              <w:rPr>
                <w:rFonts w:cstheme="minorHAnsi"/>
              </w:rPr>
              <w:t>poučeni</w:t>
            </w:r>
            <w:r>
              <w:rPr>
                <w:rFonts w:cstheme="minorHAnsi"/>
              </w:rPr>
              <w:t xml:space="preserve"> </w:t>
            </w:r>
            <w:r w:rsidR="0016367E">
              <w:rPr>
                <w:rFonts w:cstheme="minorHAnsi"/>
              </w:rPr>
              <w:t>významem</w:t>
            </w:r>
            <w:r>
              <w:rPr>
                <w:rFonts w:cstheme="minorHAnsi"/>
              </w:rPr>
              <w:t xml:space="preserve"> jednotlivých otázek a tento prvek v</w:t>
            </w:r>
            <w:r w:rsidR="0016367E">
              <w:rPr>
                <w:rFonts w:cstheme="minorHAnsi"/>
              </w:rPr>
              <w:t> </w:t>
            </w:r>
            <w:r>
              <w:rPr>
                <w:rFonts w:cstheme="minorHAnsi"/>
              </w:rPr>
              <w:t>dotazníku</w:t>
            </w:r>
            <w:r w:rsidR="0016367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lze označit jako inspirativní. BP splnila stanovené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3C2015" w:rsidR="000E094A" w:rsidRDefault="0016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BF2CDB0" w:rsidR="000E094A" w:rsidRPr="000E094A" w:rsidRDefault="001636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je adekvátní pro tento typ kvalifikační práce. Text je logicky provázán a autor využívá správnou terminologii. Citace jsou uvedeny odpovídajícím způsobem. Vůči grafické a jazykové úrovni nemám žádné zásadní výhrady.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704CA9C" w:rsidR="009C7318" w:rsidRDefault="00257B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DCD6FF9" w14:textId="7A4F20C7" w:rsidR="00257BA1" w:rsidRPr="000E094A" w:rsidRDefault="00257BA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Velmi kvalitně a systematicky zpracovaná bakalářská práce, která splňuje i některé parametry pro diplomové práce. S ohledem na rozsáhlý dotazníkový výzkum jednotlivých behaviorálních zkreslení v dotazníku, výbornou teoretickou část a uvedení přiměřené diskuse výsledků, doporučuji tuto BP k obhajobě se známkou A.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2CA5D79E" w:rsidR="005C4ACA" w:rsidRPr="00257BA1" w:rsidRDefault="00257BA1" w:rsidP="00257BA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spolu souvisí behaviorální zkreslení a finanční gramotnost?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D9CFC1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42C9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42C9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63C58A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F42C9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8493F6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42C9A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3448D" w14:textId="77777777" w:rsidR="00AA7CAD" w:rsidRDefault="00AA7CAD" w:rsidP="00A40E93">
      <w:pPr>
        <w:spacing w:after="0" w:line="240" w:lineRule="auto"/>
      </w:pPr>
      <w:r>
        <w:separator/>
      </w:r>
    </w:p>
  </w:endnote>
  <w:endnote w:type="continuationSeparator" w:id="0">
    <w:p w14:paraId="30DDC015" w14:textId="77777777" w:rsidR="00AA7CAD" w:rsidRDefault="00AA7CA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005B2" w14:textId="77777777" w:rsidR="00AA7CAD" w:rsidRDefault="00AA7CAD" w:rsidP="00A40E93">
      <w:pPr>
        <w:spacing w:after="0" w:line="240" w:lineRule="auto"/>
      </w:pPr>
      <w:r>
        <w:separator/>
      </w:r>
    </w:p>
  </w:footnote>
  <w:footnote w:type="continuationSeparator" w:id="0">
    <w:p w14:paraId="7475BA4A" w14:textId="77777777" w:rsidR="00AA7CAD" w:rsidRDefault="00AA7CA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60D06"/>
    <w:rsid w:val="0016367E"/>
    <w:rsid w:val="00173FE7"/>
    <w:rsid w:val="001900AB"/>
    <w:rsid w:val="001E3B6F"/>
    <w:rsid w:val="0024258E"/>
    <w:rsid w:val="00257BA1"/>
    <w:rsid w:val="0029651C"/>
    <w:rsid w:val="002B4918"/>
    <w:rsid w:val="004449FC"/>
    <w:rsid w:val="0047059B"/>
    <w:rsid w:val="004D378C"/>
    <w:rsid w:val="005020BE"/>
    <w:rsid w:val="005C4ACA"/>
    <w:rsid w:val="0067082B"/>
    <w:rsid w:val="00694399"/>
    <w:rsid w:val="0073639B"/>
    <w:rsid w:val="007553A6"/>
    <w:rsid w:val="0085398A"/>
    <w:rsid w:val="008B781B"/>
    <w:rsid w:val="008E2072"/>
    <w:rsid w:val="008E7118"/>
    <w:rsid w:val="00974EA2"/>
    <w:rsid w:val="009813B0"/>
    <w:rsid w:val="00987B93"/>
    <w:rsid w:val="00992AFB"/>
    <w:rsid w:val="009A2E32"/>
    <w:rsid w:val="009C322A"/>
    <w:rsid w:val="009C7318"/>
    <w:rsid w:val="009D67D5"/>
    <w:rsid w:val="00A40E93"/>
    <w:rsid w:val="00A7527E"/>
    <w:rsid w:val="00AA7CAD"/>
    <w:rsid w:val="00AC1ADA"/>
    <w:rsid w:val="00B10319"/>
    <w:rsid w:val="00B14451"/>
    <w:rsid w:val="00BA16DD"/>
    <w:rsid w:val="00CA34A9"/>
    <w:rsid w:val="00CD12C3"/>
    <w:rsid w:val="00D90835"/>
    <w:rsid w:val="00DC7D52"/>
    <w:rsid w:val="00E22423"/>
    <w:rsid w:val="00EA273F"/>
    <w:rsid w:val="00EF1720"/>
    <w:rsid w:val="00F013F9"/>
    <w:rsid w:val="00F42C9A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E2439"/>
    <w:rsid w:val="005020BE"/>
    <w:rsid w:val="00510546"/>
    <w:rsid w:val="00594CC3"/>
    <w:rsid w:val="005E083B"/>
    <w:rsid w:val="008F6371"/>
    <w:rsid w:val="00916491"/>
    <w:rsid w:val="00A00291"/>
    <w:rsid w:val="00BF2549"/>
    <w:rsid w:val="00DA7CEE"/>
    <w:rsid w:val="00DF4309"/>
    <w:rsid w:val="00EA273F"/>
    <w:rsid w:val="00F0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58DD23-04C5-43E1-AD02-6249A9B5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2025-05-28T12:04:00Z</dcterms:created>
  <dcterms:modified xsi:type="dcterms:W3CDTF">2025-05-28T12:04:00Z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