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7FD5E7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7268F">
        <w:rPr>
          <w:rFonts w:asciiTheme="minorHAnsi" w:hAnsiTheme="minorHAnsi" w:cstheme="minorHAnsi"/>
          <w:sz w:val="22"/>
          <w:szCs w:val="22"/>
        </w:rPr>
        <w:t>Mgr. Hana Lukácsová</w:t>
      </w:r>
    </w:p>
    <w:p w14:paraId="01DAD7B2" w14:textId="218CEDD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268F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24C3857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7268F">
        <w:rPr>
          <w:rFonts w:cstheme="minorHAnsi"/>
        </w:rPr>
        <w:t>Využitelnost paušálního režimu v podmínkách roku 2023</w:t>
      </w:r>
    </w:p>
    <w:p w14:paraId="3F08876F" w14:textId="50120C4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7268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19F5B2" w:rsidR="000E094A" w:rsidRDefault="00D90F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0F4CB2" w14:textId="04DF1D6C" w:rsidR="00C3573A" w:rsidRPr="000E094A" w:rsidRDefault="00C3573A" w:rsidP="00C357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zaměřuje na problematiku využitelnosti paušálního režimu u osob samostatně výdělečně činných v podmínkách roku 2023 v České republice. </w:t>
            </w:r>
            <w:r w:rsidR="00D90FDE">
              <w:rPr>
                <w:rFonts w:cstheme="minorHAnsi"/>
              </w:rPr>
              <w:t xml:space="preserve">  Stanovené cíle byly formulovány srozumitelně a v</w:t>
            </w:r>
            <w:r>
              <w:rPr>
                <w:rFonts w:cstheme="minorHAnsi"/>
              </w:rPr>
              <w:t xml:space="preserve"> souladu se zadáním a tématem práce.  </w:t>
            </w:r>
            <w:r w:rsidR="00D90FDE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oužité metody </w:t>
            </w:r>
            <w:r w:rsidR="00D90FDE">
              <w:rPr>
                <w:rFonts w:cstheme="minorHAnsi"/>
              </w:rPr>
              <w:t xml:space="preserve">a postupy </w:t>
            </w:r>
            <w:r>
              <w:rPr>
                <w:rFonts w:cstheme="minorHAnsi"/>
              </w:rPr>
              <w:t>byly zvoleny adekvátně</w:t>
            </w:r>
            <w:r w:rsidR="00D90FDE">
              <w:rPr>
                <w:rFonts w:cstheme="minorHAnsi"/>
              </w:rPr>
              <w:t xml:space="preserve"> a jsou vhodné pro naplnění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1301C9" w:rsidR="000E094A" w:rsidRDefault="00537D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CB769F" w14:textId="77777777" w:rsidR="000E094A" w:rsidRDefault="00D90F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teoretická část práce podává ucelený pohled na řešenou problematiku. Literární rešerše vychází z vhodně zvolených</w:t>
            </w:r>
            <w:r w:rsidR="00EB5826">
              <w:rPr>
                <w:rFonts w:cstheme="minorHAnsi"/>
              </w:rPr>
              <w:t xml:space="preserve">, vzhledem k problematice zejména tuzemských, </w:t>
            </w:r>
            <w:r>
              <w:rPr>
                <w:rFonts w:cstheme="minorHAnsi"/>
              </w:rPr>
              <w:t xml:space="preserve">zdrojů a opírá se především o aktuální zákony související s problematikou paušální daně. Citační norma byla dodržena. </w:t>
            </w:r>
          </w:p>
          <w:p w14:paraId="7B260597" w14:textId="63384659" w:rsidR="00537DA0" w:rsidRPr="000E094A" w:rsidRDefault="00537D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0B2923" w:rsidR="000E094A" w:rsidRDefault="00007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9600054" w:rsidR="000E094A" w:rsidRPr="000E094A" w:rsidRDefault="00537D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navazuje na poznatky z teorie a vhodně je aplikuje. Tuto část práce představuje </w:t>
            </w:r>
            <w:r w:rsidR="00007B33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>metodika výpočtu pro stanovení bodu zvratu při volbě mezi zdaněním výdajovým paušálem a paušální daní</w:t>
            </w:r>
            <w:r w:rsidR="00007B33">
              <w:rPr>
                <w:rFonts w:cstheme="minorHAnsi"/>
              </w:rPr>
              <w:t xml:space="preserve">, tedy pro následné zhodnocení výhodnosti použití paušálního režimu fyzickými osobami podnikajícími oproti využití výdajů stanovených procentem z příjmů. </w:t>
            </w:r>
            <w:r>
              <w:rPr>
                <w:rFonts w:cstheme="minorHAnsi"/>
              </w:rPr>
              <w:t xml:space="preserve"> Popis postupu je dostatečný a </w:t>
            </w:r>
            <w:r w:rsidR="00007B33">
              <w:rPr>
                <w:rFonts w:cstheme="minorHAnsi"/>
              </w:rPr>
              <w:t xml:space="preserve">srozumitelný.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599F80" w:rsidR="000E094A" w:rsidRDefault="006130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52C2C16" w14:textId="77777777" w:rsidR="00267570" w:rsidRDefault="00267570" w:rsidP="002675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9A18BA" w14:textId="544F0DF5" w:rsidR="00EB5826" w:rsidRPr="000E094A" w:rsidRDefault="002675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3B78">
              <w:rPr>
                <w:rFonts w:cstheme="minorHAnsi"/>
              </w:rPr>
              <w:t>Praktická část práce je zpracována</w:t>
            </w:r>
            <w:r>
              <w:rPr>
                <w:rFonts w:cstheme="minorHAnsi"/>
              </w:rPr>
              <w:t xml:space="preserve"> přehledně formou modelových příkladů</w:t>
            </w:r>
            <w:r w:rsidRPr="00283B78">
              <w:rPr>
                <w:rFonts w:cstheme="minorHAnsi"/>
              </w:rPr>
              <w:t xml:space="preserve"> a navazuje na </w:t>
            </w:r>
            <w:r>
              <w:rPr>
                <w:rFonts w:cstheme="minorHAnsi"/>
              </w:rPr>
              <w:t>předchozí části práce. Modelové příklady jsou zpracovány formou i</w:t>
            </w:r>
            <w:r w:rsidR="00EB5826">
              <w:rPr>
                <w:rFonts w:cstheme="minorHAnsi"/>
              </w:rPr>
              <w:t>nteraktivní</w:t>
            </w:r>
            <w:r>
              <w:rPr>
                <w:rFonts w:cstheme="minorHAnsi"/>
              </w:rPr>
              <w:t>ch</w:t>
            </w:r>
            <w:r w:rsidR="00EB5826">
              <w:rPr>
                <w:rFonts w:cstheme="minorHAnsi"/>
              </w:rPr>
              <w:t xml:space="preserve"> tabul</w:t>
            </w:r>
            <w:r>
              <w:rPr>
                <w:rFonts w:cstheme="minorHAnsi"/>
              </w:rPr>
              <w:t>e</w:t>
            </w:r>
            <w:r w:rsidR="00EB5826">
              <w:rPr>
                <w:rFonts w:cstheme="minorHAnsi"/>
              </w:rPr>
              <w:t>k vytvořen</w:t>
            </w:r>
            <w:r>
              <w:rPr>
                <w:rFonts w:cstheme="minorHAnsi"/>
              </w:rPr>
              <w:t>ých</w:t>
            </w:r>
            <w:r w:rsidR="00EB5826">
              <w:rPr>
                <w:rFonts w:cstheme="minorHAnsi"/>
              </w:rPr>
              <w:t xml:space="preserve"> v MS Office Excel</w:t>
            </w:r>
            <w:r>
              <w:rPr>
                <w:rFonts w:cstheme="minorHAnsi"/>
              </w:rPr>
              <w:t xml:space="preserve"> pomocí složených vzorců podle kritérií nadefinovaných na základě poznatků z teoretické části a metodiky stanovené v analytické části práce. Z tabulek jsou pak automaticky generovány grafy, z kterých lze vyčíst výhodnost či nevýhodnost použití paušálního režimu. </w:t>
            </w:r>
          </w:p>
          <w:p w14:paraId="08191F52" w14:textId="7A8E0BF7" w:rsidR="000E094A" w:rsidRPr="000E094A" w:rsidRDefault="002675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práce je splněna bez výhrad.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0940B1" w:rsidR="000E094A" w:rsidRDefault="00C357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410FC6EF" w14:textId="77777777" w:rsidR="00DF1A7B" w:rsidRDefault="00DF1A7B" w:rsidP="006130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B794EB" w14:textId="0C857D81" w:rsidR="00DF1A7B" w:rsidRPr="000E094A" w:rsidRDefault="00613024" w:rsidP="00DF1A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3BF0">
              <w:rPr>
                <w:rFonts w:cstheme="minorHAnsi"/>
              </w:rPr>
              <w:t>Z formálního hlediska</w:t>
            </w:r>
            <w:r>
              <w:rPr>
                <w:rFonts w:cstheme="minorHAnsi"/>
              </w:rPr>
              <w:t xml:space="preserve"> je práce</w:t>
            </w:r>
            <w:r w:rsidRPr="00A03BF0">
              <w:rPr>
                <w:rFonts w:cstheme="minorHAnsi"/>
              </w:rPr>
              <w:t xml:space="preserve"> zdařilá. Stylistická úroveň práce je odpovídající. Práce má vhodně zvolenou logickou strukturu a jednotlivé kapitoly vystihují zkoumanou problematiku. </w:t>
            </w:r>
            <w:r>
              <w:rPr>
                <w:rFonts w:cstheme="minorHAnsi"/>
              </w:rPr>
              <w:t xml:space="preserve">Práce má odpovídající jazykovou a grafickou úroveň. </w:t>
            </w:r>
            <w:r w:rsidR="00DF1A7B">
              <w:rPr>
                <w:rFonts w:cstheme="minorHAnsi"/>
              </w:rPr>
              <w:t xml:space="preserve">I když lze v práci nalézt drobné nedostatky ve formě občasných překlepů. Použité zdroje byly citovány převážně správně. </w:t>
            </w:r>
          </w:p>
          <w:p w14:paraId="1CBFD397" w14:textId="77777777" w:rsidR="000E094A" w:rsidRPr="000E094A" w:rsidRDefault="000E094A" w:rsidP="00DF1A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2B669E" w:rsidR="009C7318" w:rsidRDefault="006130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E5ABDCD" w:rsidR="009D67D5" w:rsidRPr="000E094A" w:rsidRDefault="004F496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A03BF0">
              <w:rPr>
                <w:rFonts w:cstheme="minorHAnsi"/>
              </w:rPr>
              <w:t>Teoretickou i aplikační část práce lze hodnotit jako ucelené zpracování vybraného tématu. Cíl, který si autor</w:t>
            </w:r>
            <w:r>
              <w:rPr>
                <w:rFonts w:cstheme="minorHAnsi"/>
              </w:rPr>
              <w:t>ka</w:t>
            </w:r>
            <w:r w:rsidRPr="00A03BF0">
              <w:rPr>
                <w:rFonts w:cstheme="minorHAnsi"/>
              </w:rPr>
              <w:t xml:space="preserve"> vytýčil</w:t>
            </w:r>
            <w:r>
              <w:rPr>
                <w:rFonts w:cstheme="minorHAnsi"/>
              </w:rPr>
              <w:t>a</w:t>
            </w:r>
            <w:r w:rsidRPr="00A03BF0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A03BF0">
              <w:rPr>
                <w:rFonts w:cstheme="minorHAnsi"/>
              </w:rPr>
              <w:t>úvodu</w:t>
            </w:r>
            <w:r>
              <w:rPr>
                <w:rFonts w:cstheme="minorHAnsi"/>
              </w:rPr>
              <w:t>, byl bez výhrad naplněn.</w:t>
            </w:r>
            <w:r w:rsidRPr="00A03BF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Bakalářská p</w:t>
            </w:r>
            <w:r w:rsidRPr="00A03BF0">
              <w:rPr>
                <w:rFonts w:cstheme="minorHAnsi"/>
              </w:rPr>
              <w:t xml:space="preserve">ráce splňuje požadavky, které jsou </w:t>
            </w:r>
            <w:r>
              <w:rPr>
                <w:rFonts w:cstheme="minorHAnsi"/>
              </w:rPr>
              <w:t>na ni kladené.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1906C43" w:rsidR="009C7318" w:rsidRDefault="00036E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Posunuly by se nějak hranice výhodnosti či nevýhodnosti paušálního režimu v podmínkách roku 2024?</w:t>
      </w:r>
      <w:r w:rsidR="00560F3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CFB4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3A6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3A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CB9D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43A6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6FF1C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3A6E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B416" w14:textId="77777777" w:rsidR="002F0E97" w:rsidRDefault="002F0E97" w:rsidP="00A40E93">
      <w:pPr>
        <w:spacing w:after="0" w:line="240" w:lineRule="auto"/>
      </w:pPr>
      <w:r>
        <w:separator/>
      </w:r>
    </w:p>
  </w:endnote>
  <w:endnote w:type="continuationSeparator" w:id="0">
    <w:p w14:paraId="7C4B9191" w14:textId="77777777" w:rsidR="002F0E97" w:rsidRDefault="002F0E9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A6C1" w14:textId="77777777" w:rsidR="002F0E97" w:rsidRDefault="002F0E97" w:rsidP="00A40E93">
      <w:pPr>
        <w:spacing w:after="0" w:line="240" w:lineRule="auto"/>
      </w:pPr>
      <w:r>
        <w:separator/>
      </w:r>
    </w:p>
  </w:footnote>
  <w:footnote w:type="continuationSeparator" w:id="0">
    <w:p w14:paraId="1FD7A7B1" w14:textId="77777777" w:rsidR="002F0E97" w:rsidRDefault="002F0E9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B33"/>
    <w:rsid w:val="00036EFB"/>
    <w:rsid w:val="00037B1A"/>
    <w:rsid w:val="000E094A"/>
    <w:rsid w:val="00173FE7"/>
    <w:rsid w:val="001900AB"/>
    <w:rsid w:val="0024258E"/>
    <w:rsid w:val="00267570"/>
    <w:rsid w:val="0029651C"/>
    <w:rsid w:val="002F0E97"/>
    <w:rsid w:val="00451C68"/>
    <w:rsid w:val="004D378C"/>
    <w:rsid w:val="004F4960"/>
    <w:rsid w:val="00537DA0"/>
    <w:rsid w:val="00543A6E"/>
    <w:rsid w:val="00560F30"/>
    <w:rsid w:val="005C4ACA"/>
    <w:rsid w:val="00613024"/>
    <w:rsid w:val="0067082B"/>
    <w:rsid w:val="00694399"/>
    <w:rsid w:val="00726338"/>
    <w:rsid w:val="0073639B"/>
    <w:rsid w:val="007553A6"/>
    <w:rsid w:val="00833DE7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3573A"/>
    <w:rsid w:val="00CA34A9"/>
    <w:rsid w:val="00CD12C3"/>
    <w:rsid w:val="00D7268F"/>
    <w:rsid w:val="00D90835"/>
    <w:rsid w:val="00D90FDE"/>
    <w:rsid w:val="00DC7D52"/>
    <w:rsid w:val="00DF1A7B"/>
    <w:rsid w:val="00E22423"/>
    <w:rsid w:val="00EB5826"/>
    <w:rsid w:val="00EF1720"/>
    <w:rsid w:val="00F92059"/>
    <w:rsid w:val="00FC2852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B2E17"/>
    <w:rsid w:val="00451C68"/>
    <w:rsid w:val="00510546"/>
    <w:rsid w:val="00594CC3"/>
    <w:rsid w:val="005E083B"/>
    <w:rsid w:val="00A00291"/>
    <w:rsid w:val="00BF2549"/>
    <w:rsid w:val="00C9106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1235E2-08A7-4DE4-A1D2-EEFAC8B0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2024-06-03T12:57:00Z</dcterms:created>
  <dcterms:modified xsi:type="dcterms:W3CDTF">2024-06-03T12:57:00Z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