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62" w:rsidRDefault="004801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8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480162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VEDOUCÍHO BAKALÁŘSKÉ PRÁCE</w:t>
            </w:r>
          </w:p>
        </w:tc>
      </w:tr>
      <w:tr w:rsidR="00480162">
        <w:tc>
          <w:tcPr>
            <w:tcW w:w="2808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Jakub </w:t>
            </w:r>
            <w:r>
              <w:rPr>
                <w:color w:val="000000"/>
              </w:rPr>
              <w:t>Stoklásek</w:t>
            </w:r>
          </w:p>
        </w:tc>
      </w:tr>
      <w:tr w:rsidR="00480162">
        <w:tc>
          <w:tcPr>
            <w:tcW w:w="2808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20" w:type="dxa"/>
            <w:gridSpan w:val="8"/>
          </w:tcPr>
          <w:p w:rsidR="00480162" w:rsidRDefault="0033204F" w:rsidP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Deindustrialisation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Reinvention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British</w:t>
            </w:r>
            <w:proofErr w:type="spellEnd"/>
            <w:r>
              <w:t xml:space="preserve"> </w:t>
            </w:r>
            <w:proofErr w:type="spellStart"/>
            <w:r>
              <w:t>Industry</w:t>
            </w:r>
            <w:proofErr w:type="spellEnd"/>
          </w:p>
        </w:tc>
      </w:tr>
      <w:tr w:rsidR="00480162">
        <w:tc>
          <w:tcPr>
            <w:tcW w:w="2808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Mgr. Helena Kaňková, Ph.D</w:t>
            </w:r>
            <w:bookmarkStart w:id="0" w:name="_GoBack"/>
            <w:bookmarkEnd w:id="0"/>
          </w:p>
        </w:tc>
      </w:tr>
      <w:tr w:rsidR="00480162">
        <w:tc>
          <w:tcPr>
            <w:tcW w:w="2808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20" w:type="dxa"/>
            <w:gridSpan w:val="8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480162">
        <w:tc>
          <w:tcPr>
            <w:tcW w:w="2808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20" w:type="dxa"/>
            <w:gridSpan w:val="8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480162">
        <w:tc>
          <w:tcPr>
            <w:tcW w:w="2808" w:type="dxa"/>
            <w:vAlign w:val="center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480162">
        <w:tc>
          <w:tcPr>
            <w:tcW w:w="9828" w:type="dxa"/>
            <w:gridSpan w:val="9"/>
            <w:shd w:val="clear" w:color="auto" w:fill="A6A6A6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480162">
        <w:tc>
          <w:tcPr>
            <w:tcW w:w="6791" w:type="dxa"/>
            <w:gridSpan w:val="3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80162">
        <w:tc>
          <w:tcPr>
            <w:tcW w:w="6791" w:type="dxa"/>
            <w:gridSpan w:val="3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80162">
        <w:tc>
          <w:tcPr>
            <w:tcW w:w="6791" w:type="dxa"/>
            <w:gridSpan w:val="3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80162">
        <w:tc>
          <w:tcPr>
            <w:tcW w:w="9828" w:type="dxa"/>
            <w:gridSpan w:val="9"/>
            <w:shd w:val="clear" w:color="auto" w:fill="A6A6A6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480162">
        <w:tc>
          <w:tcPr>
            <w:tcW w:w="6791" w:type="dxa"/>
            <w:gridSpan w:val="3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80162">
        <w:tc>
          <w:tcPr>
            <w:tcW w:w="6791" w:type="dxa"/>
            <w:gridSpan w:val="3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505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80162">
        <w:tc>
          <w:tcPr>
            <w:tcW w:w="6791" w:type="dxa"/>
            <w:gridSpan w:val="3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  <w:vAlign w:val="center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  <w:vAlign w:val="center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  <w:vAlign w:val="center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  <w:vAlign w:val="center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505" w:type="dxa"/>
            <w:vAlign w:val="center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80162">
        <w:tc>
          <w:tcPr>
            <w:tcW w:w="6791" w:type="dxa"/>
            <w:gridSpan w:val="3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80162">
        <w:tc>
          <w:tcPr>
            <w:tcW w:w="6791" w:type="dxa"/>
            <w:gridSpan w:val="3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80162">
        <w:tc>
          <w:tcPr>
            <w:tcW w:w="6791" w:type="dxa"/>
            <w:gridSpan w:val="3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80162">
        <w:tc>
          <w:tcPr>
            <w:tcW w:w="9828" w:type="dxa"/>
            <w:gridSpan w:val="9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Odůvodnění hodnocení práce:</w:t>
            </w:r>
          </w:p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242424"/>
                <w:highlight w:val="white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author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thesis </w:t>
            </w:r>
            <w:proofErr w:type="spellStart"/>
            <w:r>
              <w:t>attempts</w:t>
            </w:r>
            <w:proofErr w:type="spellEnd"/>
            <w:r>
              <w:t xml:space="preserve"> to </w:t>
            </w: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deindustrialisation</w:t>
            </w:r>
            <w:proofErr w:type="spellEnd"/>
            <w:r>
              <w:t xml:space="preserve">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in </w:t>
            </w:r>
            <w:proofErr w:type="spellStart"/>
            <w:r>
              <w:t>Britain</w:t>
            </w:r>
            <w:proofErr w:type="spellEnd"/>
            <w:r>
              <w:t xml:space="preserve">. </w:t>
            </w:r>
            <w:proofErr w:type="spellStart"/>
            <w:r>
              <w:t>However</w:t>
            </w:r>
            <w:proofErr w:type="spellEnd"/>
            <w:r>
              <w:t xml:space="preserve">, </w:t>
            </w:r>
            <w:proofErr w:type="spellStart"/>
            <w:r>
              <w:rPr>
                <w:color w:val="242424"/>
                <w:highlight w:val="white"/>
              </w:rPr>
              <w:t>t</w:t>
            </w:r>
            <w:r>
              <w:rPr>
                <w:color w:val="242424"/>
                <w:highlight w:val="white"/>
              </w:rPr>
              <w:t>he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selected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analysing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method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is</w:t>
            </w:r>
            <w:proofErr w:type="spellEnd"/>
            <w:r>
              <w:rPr>
                <w:color w:val="242424"/>
                <w:highlight w:val="white"/>
              </w:rPr>
              <w:t xml:space="preserve"> not </w:t>
            </w:r>
            <w:proofErr w:type="spellStart"/>
            <w:r>
              <w:rPr>
                <w:color w:val="242424"/>
                <w:highlight w:val="white"/>
              </w:rPr>
              <w:t>clear</w:t>
            </w:r>
            <w:proofErr w:type="spellEnd"/>
            <w:r>
              <w:rPr>
                <w:color w:val="242424"/>
                <w:highlight w:val="white"/>
              </w:rPr>
              <w:t xml:space="preserve"> -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author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does</w:t>
            </w:r>
            <w:proofErr w:type="spellEnd"/>
            <w:r>
              <w:rPr>
                <w:color w:val="242424"/>
                <w:highlight w:val="white"/>
              </w:rPr>
              <w:t xml:space="preserve"> not  </w:t>
            </w:r>
            <w:proofErr w:type="spellStart"/>
            <w:r>
              <w:rPr>
                <w:color w:val="242424"/>
                <w:highlight w:val="white"/>
              </w:rPr>
              <w:t>clarify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why</w:t>
            </w:r>
            <w:proofErr w:type="spellEnd"/>
            <w:r>
              <w:rPr>
                <w:color w:val="242424"/>
                <w:highlight w:val="white"/>
              </w:rPr>
              <w:t xml:space="preserve"> and in </w:t>
            </w:r>
            <w:proofErr w:type="spellStart"/>
            <w:r>
              <w:rPr>
                <w:color w:val="242424"/>
                <w:highlight w:val="white"/>
              </w:rPr>
              <w:t>which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way</w:t>
            </w:r>
            <w:proofErr w:type="spellEnd"/>
            <w:r>
              <w:rPr>
                <w:color w:val="242424"/>
                <w:highlight w:val="white"/>
              </w:rPr>
              <w:t xml:space="preserve"> he </w:t>
            </w:r>
            <w:proofErr w:type="spellStart"/>
            <w:r>
              <w:rPr>
                <w:color w:val="242424"/>
                <w:highlight w:val="white"/>
              </w:rPr>
              <w:t>wants</w:t>
            </w:r>
            <w:proofErr w:type="spellEnd"/>
            <w:r>
              <w:rPr>
                <w:color w:val="242424"/>
                <w:highlight w:val="white"/>
              </w:rPr>
              <w:t xml:space="preserve"> to </w:t>
            </w:r>
            <w:proofErr w:type="spellStart"/>
            <w:r>
              <w:rPr>
                <w:color w:val="242424"/>
                <w:highlight w:val="white"/>
              </w:rPr>
              <w:t>explore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deindustrialization</w:t>
            </w:r>
            <w:proofErr w:type="spellEnd"/>
            <w:r>
              <w:rPr>
                <w:color w:val="242424"/>
                <w:highlight w:val="white"/>
              </w:rPr>
              <w:t xml:space="preserve">. </w:t>
            </w:r>
          </w:p>
          <w:p w:rsidR="00480162" w:rsidRDefault="0033204F">
            <w:pPr>
              <w:ind w:left="0" w:hanging="2"/>
              <w:rPr>
                <w:color w:val="242424"/>
                <w:highlight w:val="white"/>
              </w:rPr>
            </w:pPr>
            <w:r>
              <w:rPr>
                <w:color w:val="242424"/>
                <w:highlight w:val="white"/>
              </w:rPr>
              <w:t xml:space="preserve">In </w:t>
            </w:r>
            <w:proofErr w:type="spellStart"/>
            <w:r>
              <w:rPr>
                <w:color w:val="242424"/>
                <w:highlight w:val="white"/>
              </w:rPr>
              <w:t>fact</w:t>
            </w:r>
            <w:proofErr w:type="spellEnd"/>
            <w:r>
              <w:rPr>
                <w:color w:val="242424"/>
                <w:highlight w:val="white"/>
              </w:rPr>
              <w:t xml:space="preserve">,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thesis </w:t>
            </w:r>
            <w:proofErr w:type="spellStart"/>
            <w:r>
              <w:rPr>
                <w:color w:val="242424"/>
                <w:highlight w:val="white"/>
              </w:rPr>
              <w:t>lists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events</w:t>
            </w:r>
            <w:proofErr w:type="spellEnd"/>
            <w:r>
              <w:rPr>
                <w:color w:val="242424"/>
                <w:highlight w:val="white"/>
              </w:rPr>
              <w:t xml:space="preserve"> and </w:t>
            </w:r>
            <w:proofErr w:type="spellStart"/>
            <w:r>
              <w:rPr>
                <w:color w:val="242424"/>
                <w:highlight w:val="white"/>
              </w:rPr>
              <w:t>facts</w:t>
            </w:r>
            <w:proofErr w:type="spellEnd"/>
            <w:r>
              <w:rPr>
                <w:color w:val="242424"/>
                <w:highlight w:val="white"/>
              </w:rPr>
              <w:t xml:space="preserve"> but </w:t>
            </w:r>
            <w:proofErr w:type="spellStart"/>
            <w:r>
              <w:rPr>
                <w:color w:val="242424"/>
                <w:highlight w:val="white"/>
              </w:rPr>
              <w:t>an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adequate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analysis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is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lacking</w:t>
            </w:r>
            <w:proofErr w:type="spellEnd"/>
            <w:r>
              <w:rPr>
                <w:color w:val="242424"/>
                <w:highlight w:val="white"/>
              </w:rPr>
              <w:t xml:space="preserve">. </w:t>
            </w:r>
          </w:p>
          <w:p w:rsidR="00480162" w:rsidRDefault="0033204F">
            <w:pPr>
              <w:ind w:left="0" w:hanging="2"/>
              <w:rPr>
                <w:color w:val="242424"/>
                <w:highlight w:val="white"/>
              </w:rPr>
            </w:pPr>
            <w:proofErr w:type="spellStart"/>
            <w:r>
              <w:rPr>
                <w:color w:val="242424"/>
                <w:highlight w:val="white"/>
              </w:rPr>
              <w:t>Chapter</w:t>
            </w:r>
            <w:proofErr w:type="spellEnd"/>
            <w:r>
              <w:rPr>
                <w:color w:val="242424"/>
                <w:highlight w:val="white"/>
              </w:rPr>
              <w:t xml:space="preserve"> no 1 </w:t>
            </w:r>
            <w:proofErr w:type="spellStart"/>
            <w:r>
              <w:rPr>
                <w:color w:val="242424"/>
                <w:highlight w:val="white"/>
              </w:rPr>
              <w:t>could</w:t>
            </w:r>
            <w:proofErr w:type="spellEnd"/>
            <w:r>
              <w:rPr>
                <w:color w:val="242424"/>
                <w:highlight w:val="white"/>
              </w:rPr>
              <w:t xml:space="preserve"> do </w:t>
            </w:r>
            <w:proofErr w:type="spellStart"/>
            <w:r>
              <w:rPr>
                <w:color w:val="242424"/>
                <w:highlight w:val="white"/>
              </w:rPr>
              <w:t>with</w:t>
            </w:r>
            <w:proofErr w:type="spellEnd"/>
            <w:r>
              <w:rPr>
                <w:color w:val="242424"/>
                <w:highlight w:val="white"/>
              </w:rPr>
              <w:t xml:space="preserve"> more </w:t>
            </w:r>
            <w:proofErr w:type="spellStart"/>
            <w:r>
              <w:rPr>
                <w:color w:val="242424"/>
                <w:highlight w:val="white"/>
              </w:rPr>
              <w:t>example</w:t>
            </w:r>
            <w:r>
              <w:rPr>
                <w:color w:val="242424"/>
                <w:highlight w:val="white"/>
              </w:rPr>
              <w:t>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of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how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industrial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revolution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changed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country and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economy</w:t>
            </w:r>
            <w:proofErr w:type="spellEnd"/>
            <w:r>
              <w:rPr>
                <w:color w:val="242424"/>
                <w:highlight w:val="white"/>
              </w:rPr>
              <w:t xml:space="preserve"> in </w:t>
            </w:r>
            <w:proofErr w:type="spellStart"/>
            <w:r>
              <w:rPr>
                <w:color w:val="242424"/>
                <w:highlight w:val="white"/>
              </w:rPr>
              <w:t>general</w:t>
            </w:r>
            <w:proofErr w:type="spellEnd"/>
            <w:r>
              <w:rPr>
                <w:color w:val="242424"/>
                <w:highlight w:val="white"/>
              </w:rPr>
              <w:t xml:space="preserve">. </w:t>
            </w:r>
          </w:p>
          <w:p w:rsidR="00480162" w:rsidRDefault="0033204F">
            <w:pPr>
              <w:ind w:left="0" w:hanging="2"/>
              <w:rPr>
                <w:color w:val="242424"/>
                <w:highlight w:val="white"/>
              </w:rPr>
            </w:pPr>
            <w:proofErr w:type="spellStart"/>
            <w:r>
              <w:rPr>
                <w:color w:val="242424"/>
                <w:highlight w:val="white"/>
              </w:rPr>
              <w:t>There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is</w:t>
            </w:r>
            <w:proofErr w:type="spellEnd"/>
            <w:r>
              <w:rPr>
                <w:color w:val="242424"/>
                <w:highlight w:val="white"/>
              </w:rPr>
              <w:t xml:space="preserve"> no </w:t>
            </w:r>
            <w:proofErr w:type="spellStart"/>
            <w:r>
              <w:rPr>
                <w:color w:val="242424"/>
                <w:highlight w:val="white"/>
              </w:rPr>
              <w:t>commentary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about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situation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at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end </w:t>
            </w:r>
            <w:proofErr w:type="spellStart"/>
            <w:r>
              <w:rPr>
                <w:color w:val="242424"/>
                <w:highlight w:val="white"/>
              </w:rPr>
              <w:t>of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19th </w:t>
            </w:r>
            <w:proofErr w:type="spellStart"/>
            <w:r>
              <w:rPr>
                <w:color w:val="242424"/>
                <w:highlight w:val="white"/>
              </w:rPr>
              <w:t>century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when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Britain</w:t>
            </w:r>
            <w:proofErr w:type="spellEnd"/>
            <w:r>
              <w:rPr>
                <w:color w:val="242424"/>
                <w:highlight w:val="white"/>
              </w:rPr>
              <w:t xml:space="preserve"> had to </w:t>
            </w:r>
            <w:proofErr w:type="spellStart"/>
            <w:r>
              <w:rPr>
                <w:color w:val="242424"/>
                <w:highlight w:val="white"/>
              </w:rPr>
              <w:t>deal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with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competition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from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U.S.</w:t>
            </w:r>
            <w:proofErr w:type="gramEnd"/>
            <w:r>
              <w:rPr>
                <w:color w:val="242424"/>
                <w:highlight w:val="white"/>
              </w:rPr>
              <w:t xml:space="preserve"> and </w:t>
            </w:r>
            <w:proofErr w:type="spellStart"/>
            <w:r>
              <w:rPr>
                <w:color w:val="242424"/>
                <w:highlight w:val="white"/>
              </w:rPr>
              <w:t>Germany</w:t>
            </w:r>
            <w:proofErr w:type="spellEnd"/>
            <w:r>
              <w:rPr>
                <w:color w:val="242424"/>
                <w:highlight w:val="white"/>
              </w:rPr>
              <w:t xml:space="preserve"> and </w:t>
            </w:r>
            <w:proofErr w:type="spellStart"/>
            <w:r>
              <w:rPr>
                <w:color w:val="242424"/>
                <w:highlight w:val="white"/>
              </w:rPr>
              <w:t>how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industries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themsel</w:t>
            </w:r>
            <w:r>
              <w:rPr>
                <w:color w:val="242424"/>
                <w:highlight w:val="white"/>
              </w:rPr>
              <w:t>ves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were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affected</w:t>
            </w:r>
            <w:proofErr w:type="spellEnd"/>
            <w:r>
              <w:rPr>
                <w:color w:val="242424"/>
                <w:highlight w:val="white"/>
              </w:rPr>
              <w:t xml:space="preserve">. </w:t>
            </w:r>
          </w:p>
          <w:p w:rsidR="00480162" w:rsidRDefault="0033204F">
            <w:pPr>
              <w:ind w:left="0" w:hanging="2"/>
              <w:rPr>
                <w:color w:val="242424"/>
                <w:highlight w:val="white"/>
              </w:rPr>
            </w:pPr>
            <w:proofErr w:type="spellStart"/>
            <w:r>
              <w:rPr>
                <w:color w:val="242424"/>
                <w:highlight w:val="white"/>
              </w:rPr>
              <w:t>Nationalisation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after</w:t>
            </w:r>
            <w:proofErr w:type="spellEnd"/>
            <w:r>
              <w:rPr>
                <w:color w:val="242424"/>
                <w:highlight w:val="white"/>
              </w:rPr>
              <w:t xml:space="preserve"> WWII </w:t>
            </w:r>
            <w:proofErr w:type="spellStart"/>
            <w:r>
              <w:rPr>
                <w:color w:val="242424"/>
                <w:highlight w:val="white"/>
              </w:rPr>
              <w:t>is</w:t>
            </w:r>
            <w:proofErr w:type="spellEnd"/>
            <w:r>
              <w:rPr>
                <w:color w:val="242424"/>
                <w:highlight w:val="white"/>
              </w:rPr>
              <w:t xml:space="preserve"> not </w:t>
            </w:r>
            <w:proofErr w:type="spellStart"/>
            <w:r>
              <w:rPr>
                <w:color w:val="242424"/>
                <w:highlight w:val="white"/>
              </w:rPr>
              <w:t>sufficiently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explained</w:t>
            </w:r>
            <w:proofErr w:type="spellEnd"/>
            <w:r>
              <w:rPr>
                <w:color w:val="242424"/>
                <w:highlight w:val="white"/>
              </w:rPr>
              <w:t xml:space="preserve"> and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examples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selected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for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Chapter</w:t>
            </w:r>
            <w:proofErr w:type="spellEnd"/>
            <w:r>
              <w:rPr>
                <w:color w:val="242424"/>
                <w:highlight w:val="white"/>
              </w:rPr>
              <w:t xml:space="preserve"> 3 </w:t>
            </w:r>
            <w:proofErr w:type="spellStart"/>
            <w:r>
              <w:rPr>
                <w:color w:val="242424"/>
                <w:highlight w:val="white"/>
              </w:rPr>
              <w:t>seemed</w:t>
            </w:r>
            <w:proofErr w:type="spellEnd"/>
            <w:r>
              <w:rPr>
                <w:color w:val="242424"/>
                <w:highlight w:val="white"/>
              </w:rPr>
              <w:t xml:space="preserve"> to </w:t>
            </w:r>
            <w:proofErr w:type="spellStart"/>
            <w:r>
              <w:rPr>
                <w:color w:val="242424"/>
                <w:highlight w:val="white"/>
              </w:rPr>
              <w:t>be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chosen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randomly</w:t>
            </w:r>
            <w:proofErr w:type="spellEnd"/>
            <w:r>
              <w:rPr>
                <w:color w:val="242424"/>
                <w:highlight w:val="white"/>
              </w:rPr>
              <w:t>.</w:t>
            </w:r>
          </w:p>
          <w:p w:rsidR="00480162" w:rsidRDefault="0033204F">
            <w:pPr>
              <w:ind w:left="0" w:hanging="2"/>
              <w:rPr>
                <w:color w:val="242424"/>
                <w:highlight w:val="white"/>
              </w:rPr>
            </w:pPr>
            <w:proofErr w:type="spellStart"/>
            <w:r>
              <w:rPr>
                <w:color w:val="242424"/>
                <w:highlight w:val="white"/>
              </w:rPr>
              <w:t>Chapter</w:t>
            </w:r>
            <w:proofErr w:type="spellEnd"/>
            <w:r>
              <w:rPr>
                <w:color w:val="242424"/>
                <w:highlight w:val="white"/>
              </w:rPr>
              <w:t xml:space="preserve"> 5 </w:t>
            </w:r>
            <w:proofErr w:type="spellStart"/>
            <w:r>
              <w:rPr>
                <w:color w:val="242424"/>
                <w:highlight w:val="white"/>
              </w:rPr>
              <w:t>is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rather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descriptive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without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assessing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critically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effects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of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measurements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introduced</w:t>
            </w:r>
            <w:proofErr w:type="spellEnd"/>
            <w:r>
              <w:rPr>
                <w:color w:val="242424"/>
                <w:highlight w:val="white"/>
              </w:rPr>
              <w:t xml:space="preserve"> by </w:t>
            </w:r>
            <w:proofErr w:type="spellStart"/>
            <w:r>
              <w:rPr>
                <w:color w:val="242424"/>
                <w:highlight w:val="white"/>
              </w:rPr>
              <w:t>variou</w:t>
            </w:r>
            <w:r>
              <w:rPr>
                <w:color w:val="242424"/>
                <w:highlight w:val="white"/>
              </w:rPr>
              <w:t>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governments</w:t>
            </w:r>
            <w:proofErr w:type="spellEnd"/>
            <w:r>
              <w:rPr>
                <w:color w:val="242424"/>
                <w:highlight w:val="white"/>
              </w:rPr>
              <w:t xml:space="preserve"> (</w:t>
            </w:r>
            <w:proofErr w:type="spellStart"/>
            <w:r>
              <w:rPr>
                <w:color w:val="242424"/>
                <w:highlight w:val="white"/>
              </w:rPr>
              <w:t>especially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Thatcher's</w:t>
            </w:r>
            <w:proofErr w:type="spellEnd"/>
            <w:r>
              <w:rPr>
                <w:color w:val="242424"/>
                <w:highlight w:val="white"/>
              </w:rPr>
              <w:t xml:space="preserve"> and </w:t>
            </w:r>
            <w:proofErr w:type="spellStart"/>
            <w:r>
              <w:rPr>
                <w:color w:val="242424"/>
                <w:highlight w:val="white"/>
              </w:rPr>
              <w:t>Major's</w:t>
            </w:r>
            <w:proofErr w:type="spellEnd"/>
            <w:r>
              <w:rPr>
                <w:color w:val="242424"/>
                <w:highlight w:val="white"/>
              </w:rPr>
              <w:t>).</w:t>
            </w:r>
          </w:p>
          <w:p w:rsidR="00480162" w:rsidRDefault="0033204F">
            <w:pPr>
              <w:ind w:left="0" w:hanging="2"/>
            </w:pPr>
            <w:r>
              <w:rPr>
                <w:color w:val="242424"/>
                <w:highlight w:val="white"/>
              </w:rPr>
              <w:t xml:space="preserve">On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whole</w:t>
            </w:r>
            <w:proofErr w:type="spellEnd"/>
            <w:r>
              <w:rPr>
                <w:color w:val="242424"/>
                <w:highlight w:val="white"/>
              </w:rPr>
              <w:t xml:space="preserve">,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thesis </w:t>
            </w:r>
            <w:proofErr w:type="spellStart"/>
            <w:r>
              <w:rPr>
                <w:color w:val="242424"/>
                <w:highlight w:val="white"/>
              </w:rPr>
              <w:t>outlines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major </w:t>
            </w:r>
            <w:proofErr w:type="spellStart"/>
            <w:r>
              <w:rPr>
                <w:color w:val="242424"/>
                <w:highlight w:val="white"/>
              </w:rPr>
              <w:t>development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of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British</w:t>
            </w:r>
            <w:proofErr w:type="spellEnd"/>
            <w:r>
              <w:rPr>
                <w:color w:val="242424"/>
                <w:highlight w:val="white"/>
              </w:rPr>
              <w:t xml:space="preserve">  </w:t>
            </w:r>
            <w:proofErr w:type="spellStart"/>
            <w:r>
              <w:rPr>
                <w:color w:val="242424"/>
                <w:highlight w:val="white"/>
              </w:rPr>
              <w:t>deindustrialization</w:t>
            </w:r>
            <w:proofErr w:type="spellEnd"/>
            <w:r>
              <w:rPr>
                <w:color w:val="242424"/>
                <w:highlight w:val="white"/>
              </w:rPr>
              <w:t xml:space="preserve"> in a </w:t>
            </w:r>
            <w:proofErr w:type="spellStart"/>
            <w:r>
              <w:rPr>
                <w:color w:val="242424"/>
                <w:highlight w:val="white"/>
              </w:rPr>
              <w:t>satisfactory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way</w:t>
            </w:r>
            <w:proofErr w:type="spellEnd"/>
            <w:r>
              <w:rPr>
                <w:color w:val="242424"/>
                <w:highlight w:val="white"/>
              </w:rPr>
              <w:t xml:space="preserve"> and </w:t>
            </w:r>
            <w:proofErr w:type="spellStart"/>
            <w:r>
              <w:rPr>
                <w:color w:val="242424"/>
                <w:highlight w:val="white"/>
              </w:rPr>
              <w:t>the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level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of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English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is</w:t>
            </w:r>
            <w:proofErr w:type="spellEnd"/>
            <w:r>
              <w:rPr>
                <w:color w:val="242424"/>
                <w:highlight w:val="white"/>
              </w:rPr>
              <w:t xml:space="preserve"> </w:t>
            </w:r>
            <w:proofErr w:type="spellStart"/>
            <w:r>
              <w:rPr>
                <w:color w:val="242424"/>
                <w:highlight w:val="white"/>
              </w:rPr>
              <w:t>acceptable</w:t>
            </w:r>
            <w:proofErr w:type="spellEnd"/>
            <w:r>
              <w:rPr>
                <w:color w:val="242424"/>
                <w:highlight w:val="white"/>
              </w:rPr>
              <w:t>.</w:t>
            </w:r>
          </w:p>
          <w:p w:rsidR="00480162" w:rsidRDefault="0048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480162">
        <w:tc>
          <w:tcPr>
            <w:tcW w:w="9828" w:type="dxa"/>
            <w:gridSpan w:val="9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Otázky k obhajobě:</w:t>
            </w:r>
          </w:p>
          <w:p w:rsidR="00480162" w:rsidRDefault="003320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the</w:t>
            </w:r>
            <w:proofErr w:type="spellEnd"/>
            <w:r>
              <w:t xml:space="preserve"> U.K.</w:t>
            </w:r>
            <w:proofErr w:type="gramEnd"/>
            <w:r>
              <w:t xml:space="preserve"> </w:t>
            </w:r>
            <w:proofErr w:type="spellStart"/>
            <w:r>
              <w:t>threatened</w:t>
            </w:r>
            <w:proofErr w:type="spellEnd"/>
            <w:r>
              <w:t xml:space="preserve"> by </w:t>
            </w:r>
            <w:proofErr w:type="spellStart"/>
            <w:r>
              <w:t>emerging</w:t>
            </w:r>
            <w:proofErr w:type="spellEnd"/>
            <w:r>
              <w:t xml:space="preserve"> </w:t>
            </w:r>
            <w:proofErr w:type="spellStart"/>
            <w:r>
              <w:t>powers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turn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19th and 20th </w:t>
            </w:r>
            <w:proofErr w:type="spellStart"/>
            <w:r>
              <w:t>century</w:t>
            </w:r>
            <w:proofErr w:type="spellEnd"/>
            <w:r>
              <w:t xml:space="preserve">?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industries</w:t>
            </w:r>
            <w:proofErr w:type="spellEnd"/>
            <w:r>
              <w:t xml:space="preserve">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mostly</w:t>
            </w:r>
            <w:proofErr w:type="spellEnd"/>
            <w:r>
              <w:t xml:space="preserve"> </w:t>
            </w:r>
            <w:proofErr w:type="spellStart"/>
            <w:r>
              <w:t>affected</w:t>
            </w:r>
            <w:proofErr w:type="spellEnd"/>
            <w:r>
              <w:t>?</w:t>
            </w:r>
          </w:p>
          <w:p w:rsidR="00480162" w:rsidRDefault="0033204F" w:rsidP="003320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measures</w:t>
            </w:r>
            <w:proofErr w:type="spellEnd"/>
            <w:r>
              <w:t xml:space="preserve"> / </w:t>
            </w:r>
            <w:proofErr w:type="spellStart"/>
            <w:r>
              <w:t>reforms</w:t>
            </w:r>
            <w:proofErr w:type="spellEnd"/>
            <w:r>
              <w:t xml:space="preserve"> </w:t>
            </w:r>
            <w:proofErr w:type="spellStart"/>
            <w:r>
              <w:t>implemented</w:t>
            </w:r>
            <w:proofErr w:type="spellEnd"/>
            <w:r>
              <w:t xml:space="preserve"> by Margaret </w:t>
            </w:r>
            <w:proofErr w:type="spellStart"/>
            <w:r>
              <w:t>Thatcher’s</w:t>
            </w:r>
            <w:proofErr w:type="spellEnd"/>
            <w:r>
              <w:t xml:space="preserve"> </w:t>
            </w:r>
            <w:proofErr w:type="spellStart"/>
            <w:r>
              <w:t>government</w:t>
            </w:r>
            <w:proofErr w:type="spellEnd"/>
            <w:r>
              <w:t xml:space="preserve"> to </w:t>
            </w:r>
            <w:proofErr w:type="spellStart"/>
            <w:r>
              <w:t>tackle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deindustrialisation</w:t>
            </w:r>
            <w:proofErr w:type="spellEnd"/>
            <w:r>
              <w:t xml:space="preserve"> </w:t>
            </w:r>
            <w:proofErr w:type="spellStart"/>
            <w:r>
              <w:t>were</w:t>
            </w:r>
            <w:proofErr w:type="spellEnd"/>
            <w:r>
              <w:t xml:space="preserve"> not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successful</w:t>
            </w:r>
            <w:proofErr w:type="spellEnd"/>
            <w:r>
              <w:t xml:space="preserve">. </w:t>
            </w:r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critically</w:t>
            </w:r>
            <w:proofErr w:type="spellEnd"/>
            <w:r>
              <w:t xml:space="preserve"> </w:t>
            </w:r>
            <w:proofErr w:type="spellStart"/>
            <w:r>
              <w:t>evaluate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period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Thatchersim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respect</w:t>
            </w:r>
            <w:proofErr w:type="spellEnd"/>
            <w:r>
              <w:t>?</w:t>
            </w:r>
          </w:p>
        </w:tc>
      </w:tr>
      <w:tr w:rsidR="00480162">
        <w:tc>
          <w:tcPr>
            <w:tcW w:w="9828" w:type="dxa"/>
            <w:gridSpan w:val="9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Práce byla zkontrolována systémem pro odhalování plagiátů </w:t>
            </w:r>
            <w:proofErr w:type="spellStart"/>
            <w:r>
              <w:rPr>
                <w:b/>
                <w:color w:val="000000"/>
              </w:rPr>
              <w:t>Theses</w:t>
            </w:r>
            <w:proofErr w:type="spellEnd"/>
            <w:r>
              <w:rPr>
                <w:b/>
                <w:color w:val="000000"/>
              </w:rPr>
              <w:t xml:space="preserve"> s výsledkem </w:t>
            </w:r>
            <w:r>
              <w:rPr>
                <w:color w:val="000000"/>
                <w:u w:val="single"/>
              </w:rPr>
              <w:t>negativním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strike/>
                <w:color w:val="000000"/>
              </w:rPr>
              <w:t>p</w:t>
            </w:r>
            <w:r>
              <w:rPr>
                <w:b/>
                <w:strike/>
              </w:rPr>
              <w:t>o</w:t>
            </w:r>
            <w:r>
              <w:rPr>
                <w:b/>
                <w:strike/>
                <w:color w:val="000000"/>
              </w:rPr>
              <w:t>zitivním</w:t>
            </w:r>
            <w:r>
              <w:rPr>
                <w:b/>
                <w:color w:val="000000"/>
              </w:rPr>
              <w:t>. *</w:t>
            </w:r>
          </w:p>
        </w:tc>
      </w:tr>
      <w:tr w:rsidR="00480162">
        <w:tc>
          <w:tcPr>
            <w:tcW w:w="6791" w:type="dxa"/>
            <w:gridSpan w:val="3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Celkové hodnocení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  <w:r>
              <w:rPr>
                <w:b/>
                <w:color w:val="000000"/>
              </w:rPr>
              <w:t>*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480162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Datum: </w:t>
            </w:r>
            <w:proofErr w:type="gramStart"/>
            <w:r>
              <w:rPr>
                <w:color w:val="000000"/>
              </w:rPr>
              <w:t>26.5.2023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480162" w:rsidRDefault="00332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Podpis:</w:t>
            </w:r>
          </w:p>
        </w:tc>
      </w:tr>
    </w:tbl>
    <w:p w:rsidR="00480162" w:rsidRDefault="004801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480162" w:rsidSect="0033204F">
      <w:pgSz w:w="11906" w:h="16838"/>
      <w:pgMar w:top="1417" w:right="1417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204F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3320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204F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33204F">
      <w:pPr>
        <w:spacing w:line="240" w:lineRule="auto"/>
        <w:ind w:left="0" w:hanging="2"/>
      </w:pPr>
      <w:r>
        <w:continuationSeparator/>
      </w:r>
    </w:p>
  </w:footnote>
  <w:footnote w:id="1">
    <w:p w:rsidR="00480162" w:rsidRDefault="00332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*   Zvolte odpovídající hodnocení. Výsledek negativní znamená, že systém </w:t>
      </w:r>
      <w:proofErr w:type="spellStart"/>
      <w:r>
        <w:rPr>
          <w:color w:val="000000"/>
          <w:sz w:val="20"/>
          <w:szCs w:val="20"/>
        </w:rPr>
        <w:t>Theses</w:t>
      </w:r>
      <w:proofErr w:type="spellEnd"/>
      <w:r>
        <w:rPr>
          <w:color w:val="000000"/>
          <w:sz w:val="20"/>
          <w:szCs w:val="20"/>
        </w:rPr>
        <w:t xml:space="preserve"> nenašel shodu s jinými pracemi a hodnocená práce tedy není plagiát.</w:t>
      </w:r>
    </w:p>
  </w:footnote>
  <w:footnote w:id="2">
    <w:p w:rsidR="00480162" w:rsidRDefault="00332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** 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0CBD"/>
    <w:multiLevelType w:val="multilevel"/>
    <w:tmpl w:val="A6301D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62"/>
    <w:rsid w:val="0033204F"/>
    <w:rsid w:val="0048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EAA7"/>
  <w15:docId w15:val="{3E677164-D41C-4E9F-9C69-40136EC1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zD487u4pQkoguwFt/8CeNP3Mw==">CgMxLjA4AHIhMVJjYWV1RzVfMTVpYldNaF9UOHRzR2J2STFDbTlMc25J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dcterms:created xsi:type="dcterms:W3CDTF">2023-05-26T13:01:00Z</dcterms:created>
  <dcterms:modified xsi:type="dcterms:W3CDTF">2023-05-26T13:01:00Z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edb47561460bfa1d30e6487a8a54e60d72f8632e2d8387c6f228661d286ca555</vt:lpwstr>
  </property>
</Properties>
</file>