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3290DA88" w14:textId="77777777" w:rsidR="00420556" w:rsidRDefault="00420556" w:rsidP="00420556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>
        <w:rPr>
          <w:rFonts w:asciiTheme="minorHAnsi" w:hAnsiTheme="minorHAnsi" w:cstheme="minorHAnsi"/>
          <w:sz w:val="22"/>
          <w:szCs w:val="22"/>
        </w:rPr>
        <w:t>Beníčková Barbora</w:t>
      </w:r>
    </w:p>
    <w:p w14:paraId="7A1C5856" w14:textId="4891C451" w:rsidR="00420556" w:rsidRDefault="00420556" w:rsidP="00420556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Mgr. Eva Kolářová, Ph.D.</w:t>
      </w:r>
    </w:p>
    <w:p w14:paraId="2C75DFA4" w14:textId="77777777" w:rsidR="00420556" w:rsidRDefault="00420556" w:rsidP="0042055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Analýza zaměstnaneckých benefitů ve vybrané společnosti</w:t>
      </w:r>
    </w:p>
    <w:p w14:paraId="41116EEB" w14:textId="77777777" w:rsidR="00420556" w:rsidRPr="009C322A" w:rsidRDefault="00420556" w:rsidP="00420556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E50CE1DD44954A3E89FE14C38C47F58A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9E0BE2" w:rsidR="000E094A" w:rsidRDefault="004205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6F88E8" w14:textId="77777777" w:rsidR="00420556" w:rsidRDefault="00420556" w:rsidP="004205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práce byla analýza zaměstnaneckých benefitů ve vybrané společnosti, jejich dopad jak pro zaměstnance, tak pro zaměstnavatele. Tento cíl byl stanoven reálně a v souladu s tématem práce. Mezi metody, které byly v práci použity, patřila analýza, rozhovory se zaměstnanci a popisná statistika. Tyto metody byly vhodné pro naplnění cílů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3F55A6" w:rsidR="000E094A" w:rsidRDefault="004205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89EE4F8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2C2CC3F" w14:textId="77777777" w:rsidR="00420556" w:rsidRPr="008B781B" w:rsidRDefault="0042055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05A05D6" w14:textId="77777777" w:rsidR="00420556" w:rsidRPr="000E094A" w:rsidRDefault="00420556" w:rsidP="004205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teoretické části jsou popsány typy motivace a druhy zaměstnaneckých benefitů. Tato část je vhodně zvolena, jsou použity domácí i zahraniční zdroje, odpovídající danému tématu.  Způsob citování je v pořádku.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F86480" w:rsidR="000E094A" w:rsidRDefault="004205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237BE8" w14:textId="77777777" w:rsidR="00420556" w:rsidRDefault="00420556" w:rsidP="004205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jsou použity teoretické poznatky. Jsou podrobně popsány zaměstnanecké benefity a jejich uznatelnost podle zákona o dani z příjmů. Zhodnocení současného stavu je kompletní a podrobné. Sběr dat byl prováděn pomocí dotazníku a osobním jednáním se zaměstnanci.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C492EA" w:rsidR="000E094A" w:rsidRDefault="004205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0369352" w14:textId="77777777" w:rsidR="00420556" w:rsidRDefault="00420556" w:rsidP="004205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Závěrečné doporučení je reálné a podložené výpočty.  Je přehledně uspořádané. Cíl práce byl splněn.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37CF0D" w:rsidR="000E094A" w:rsidRDefault="004205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5F6BC8" w14:textId="77777777" w:rsidR="00420556" w:rsidRDefault="00420556" w:rsidP="004205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na sebe logicky navazují, je použita správná terminologie, jsou použity předepsané normy citování zdrojů a celá práce má odpovídající jazykovou a grafickou úroveň.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D3CFF8" w:rsidR="009C7318" w:rsidRDefault="004205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30813E5" w:rsidR="00F92C79" w:rsidRPr="000E094A" w:rsidRDefault="0042055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na téma zaměstnaneckých benefitů je dobře zpracována, jsou použity i praktické zkušenosti studenta. 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46F3F27A" w:rsidR="005C4ACA" w:rsidRPr="00420556" w:rsidRDefault="00420556" w:rsidP="0042055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B8586A">
        <w:rPr>
          <w:rFonts w:cstheme="minorHAnsi"/>
        </w:rPr>
        <w:t xml:space="preserve">Jaký zaměstnanecký benefit nejvíce preferovali zaměstnanci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294E4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55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55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548FE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0556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29EC"/>
    <w:multiLevelType w:val="hybridMultilevel"/>
    <w:tmpl w:val="2E887942"/>
    <w:lvl w:ilvl="0" w:tplc="6F98839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420556"/>
    <w:rsid w:val="004D378C"/>
    <w:rsid w:val="005A3B4A"/>
    <w:rsid w:val="005C4ACA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50CE1DD44954A3E89FE14C38C47F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46DAC-2D43-43A5-8D53-6FF5321A1812}"/>
      </w:docPartPr>
      <w:docPartBody>
        <w:p w:rsidR="00000000" w:rsidRDefault="0050412E" w:rsidP="0050412E">
          <w:pPr>
            <w:pStyle w:val="E50CE1DD44954A3E89FE14C38C47F58A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0412E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412E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E50CE1DD44954A3E89FE14C38C47F58A">
    <w:name w:val="E50CE1DD44954A3E89FE14C38C47F58A"/>
    <w:rsid w:val="00504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terms/"/>
    <ds:schemaRef ds:uri="http://schemas.openxmlformats.org/package/2006/metadata/core-properties"/>
    <ds:schemaRef ds:uri="91f26e49-f70c-446a-af9a-0186764ea1f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81cfee2-c630-4554-92b2-68787b9159c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2023-06-02T06:07:00Z</cp:lastPrinted>
  <dcterms:created xsi:type="dcterms:W3CDTF">2023-06-02T06:08:00Z</dcterms:created>
  <dcterms:modified xsi:type="dcterms:W3CDTF">2023-06-02T06:08:00Z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