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CCA847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B71A2">
        <w:rPr>
          <w:rFonts w:asciiTheme="minorHAnsi" w:hAnsiTheme="minorHAnsi" w:cstheme="minorHAnsi"/>
          <w:sz w:val="22"/>
          <w:szCs w:val="22"/>
        </w:rPr>
        <w:t xml:space="preserve">Bc. Aneta Polepilová </w:t>
      </w:r>
    </w:p>
    <w:p w14:paraId="00D6BB86" w14:textId="0CCAC74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71A2">
        <w:rPr>
          <w:rFonts w:asciiTheme="minorHAnsi" w:hAnsiTheme="minorHAnsi" w:cstheme="minorHAnsi"/>
          <w:sz w:val="22"/>
          <w:szCs w:val="22"/>
        </w:rPr>
        <w:t>JUDr. Tomáš Grygar</w:t>
      </w:r>
    </w:p>
    <w:p w14:paraId="09E4DE65" w14:textId="550F92B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B71A2">
        <w:rPr>
          <w:rFonts w:cstheme="minorHAnsi"/>
        </w:rPr>
        <w:t xml:space="preserve">Opatření obecné povahy a jeho využití v oblasti územního plánování </w:t>
      </w:r>
    </w:p>
    <w:p w14:paraId="4F696F62" w14:textId="329395E3" w:rsidR="007E17F3" w:rsidRPr="009C322A" w:rsidRDefault="00A40E93" w:rsidP="00FD3E0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B71A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4F19F9DE" w14:textId="0274019F" w:rsidR="00FD3E03" w:rsidRPr="000A42DD" w:rsidRDefault="007E17F3" w:rsidP="000A42DD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A2D876" w:rsidR="000E094A" w:rsidRDefault="006B71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5B866D81" w:rsidR="000E094A" w:rsidRPr="00005A65" w:rsidRDefault="006B71A2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  <w:r w:rsidRPr="00005A65">
              <w:rPr>
                <w:rFonts w:cstheme="minorHAnsi"/>
                <w:iCs/>
                <w:szCs w:val="24"/>
              </w:rPr>
              <w:t>Cíle práce jsou jasně formulovány</w:t>
            </w:r>
            <w:r w:rsidR="006F341B">
              <w:rPr>
                <w:rFonts w:cstheme="minorHAnsi"/>
                <w:iCs/>
                <w:szCs w:val="24"/>
              </w:rPr>
              <w:t xml:space="preserve"> a byly také splněny (viz níže)</w:t>
            </w:r>
            <w:r w:rsidRPr="00005A65">
              <w:rPr>
                <w:rFonts w:cstheme="minorHAnsi"/>
                <w:iCs/>
                <w:szCs w:val="24"/>
              </w:rPr>
              <w:t>, použité vědecké metody však mohly být více rozvedeny.</w:t>
            </w:r>
          </w:p>
          <w:p w14:paraId="7ED3E311" w14:textId="77777777" w:rsidR="000E094A" w:rsidRPr="00005A6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szCs w:val="24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E7B27D" w:rsidR="000E094A" w:rsidRDefault="00C239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19B75" w14:textId="18AEBB3B" w:rsidR="00CE1347" w:rsidRDefault="00C239E8" w:rsidP="00A503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vychází z kvalitní, relevantní a aktuální literatury. Použity jsou tři základní učebnice obecné části správního práva (od prof. Sládečka, prof. Kopeckého a prof. </w:t>
            </w:r>
            <w:r w:rsidR="00A33035">
              <w:rPr>
                <w:rFonts w:cstheme="minorHAnsi"/>
              </w:rPr>
              <w:t>Hendrycha</w:t>
            </w:r>
            <w:r>
              <w:rPr>
                <w:rFonts w:cstheme="minorHAnsi"/>
              </w:rPr>
              <w:t xml:space="preserve"> a kol.), vždy v posledním vydání. Použita je </w:t>
            </w:r>
            <w:r w:rsidR="00FD3E03">
              <w:rPr>
                <w:rFonts w:cstheme="minorHAnsi"/>
              </w:rPr>
              <w:t xml:space="preserve">              </w:t>
            </w:r>
            <w:r>
              <w:rPr>
                <w:rFonts w:cstheme="minorHAnsi"/>
              </w:rPr>
              <w:t xml:space="preserve">i klíčová vědecká monografie D. Hejče a L. </w:t>
            </w:r>
            <w:proofErr w:type="spellStart"/>
            <w:r>
              <w:rPr>
                <w:rFonts w:cstheme="minorHAnsi"/>
              </w:rPr>
              <w:t>Bahýľové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182583">
              <w:rPr>
                <w:rFonts w:cstheme="minorHAnsi"/>
                <w:i/>
                <w:iCs/>
              </w:rPr>
              <w:t>Opatření obecné povahy v teorii a praxi</w:t>
            </w:r>
            <w:r>
              <w:rPr>
                <w:rFonts w:cstheme="minorHAnsi"/>
              </w:rPr>
              <w:t xml:space="preserve"> (C. H. Beck, 2017), byť v návaznosti na tuto publikaci mohla diplomantka ve druhé kapitole uvést všechny čtyři znaky opatření obecné povahy (str. 60 až 69 monografie), nikoliv v zásadě pouze znak obecnosti </w:t>
            </w:r>
            <w:r w:rsidR="00FA4D6B">
              <w:rPr>
                <w:rFonts w:cstheme="minorHAnsi"/>
              </w:rPr>
              <w:t xml:space="preserve">adresátů </w:t>
            </w:r>
            <w:r>
              <w:rPr>
                <w:rFonts w:cstheme="minorHAnsi"/>
              </w:rPr>
              <w:t>a konkrétnost</w:t>
            </w:r>
            <w:r w:rsidR="00FA4D6B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předmětu regulace.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D4C0B9" w14:textId="6B3D02F5" w:rsidR="00CE1347" w:rsidRDefault="00121A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na dobré úrovni. Dílčí připomínky lze mít k následujícímu: </w:t>
            </w:r>
          </w:p>
          <w:p w14:paraId="1485CAF6" w14:textId="3E669833" w:rsidR="00121A12" w:rsidRPr="00121A12" w:rsidRDefault="00121A12" w:rsidP="00121A12">
            <w:pPr>
              <w:pStyle w:val="Odstavecseseznamem"/>
              <w:numPr>
                <w:ilvl w:val="0"/>
                <w:numId w:val="7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21A12">
              <w:rPr>
                <w:rFonts w:cstheme="minorHAnsi"/>
              </w:rPr>
              <w:t xml:space="preserve">Tvrzení diplomantky (např. str.  15 a 16), že obecností opatření obecné povahy se rozumí jeho dopad na neurčitý okruh adresátů je sice (i v literatuře) poměrně časté, není však přesné. Okruh adresátů může být (je) určitý, resp. určitelný (srov. např. </w:t>
            </w:r>
            <w:r w:rsidR="00FF4076">
              <w:rPr>
                <w:rFonts w:cstheme="minorHAnsi"/>
              </w:rPr>
              <w:t>GERLOCH</w:t>
            </w:r>
            <w:r w:rsidRPr="00121A12">
              <w:rPr>
                <w:rFonts w:cstheme="minorHAnsi"/>
              </w:rPr>
              <w:t xml:space="preserve">, A. </w:t>
            </w:r>
            <w:r w:rsidRPr="00121A12">
              <w:rPr>
                <w:rFonts w:cstheme="minorHAnsi"/>
                <w:i/>
                <w:iCs/>
              </w:rPr>
              <w:t>Teorie práva. 5. vyd.</w:t>
            </w:r>
            <w:r w:rsidRPr="00121A12">
              <w:rPr>
                <w:rFonts w:cstheme="minorHAnsi"/>
              </w:rPr>
              <w:t xml:space="preserve"> Plzeň: Aleš Čeněk, 2009, s. 35; rozsudek NSS ze dne 9. 8. 2010, č. j. 4 </w:t>
            </w:r>
            <w:proofErr w:type="spellStart"/>
            <w:r w:rsidRPr="00121A12">
              <w:rPr>
                <w:rFonts w:cstheme="minorHAnsi"/>
              </w:rPr>
              <w:t>Ao</w:t>
            </w:r>
            <w:proofErr w:type="spellEnd"/>
            <w:r w:rsidRPr="00121A12">
              <w:rPr>
                <w:rFonts w:cstheme="minorHAnsi"/>
              </w:rPr>
              <w:t xml:space="preserve"> 4/2010-195). Obecností opatření obecné povahy je tedy nutné rozumět, že okruh adresátů není vymezen individuálně, resp. jmenovitě, nýbrž genericky (druhově) </w:t>
            </w:r>
            <w:r w:rsidR="00733E72">
              <w:rPr>
                <w:rFonts w:cstheme="minorHAnsi"/>
              </w:rPr>
              <w:t xml:space="preserve">                        </w:t>
            </w:r>
            <w:r w:rsidRPr="00121A12">
              <w:rPr>
                <w:rFonts w:cstheme="minorHAnsi"/>
              </w:rPr>
              <w:t xml:space="preserve"> viz GRYGAR, T. </w:t>
            </w:r>
            <w:r w:rsidRPr="00121A12">
              <w:rPr>
                <w:rFonts w:cstheme="minorHAnsi"/>
                <w:i/>
                <w:iCs/>
              </w:rPr>
              <w:t xml:space="preserve">Řízení o zrušení opatření obecné povahy nebo jeho části. </w:t>
            </w:r>
            <w:r w:rsidRPr="00121A12">
              <w:rPr>
                <w:rFonts w:cstheme="minorHAnsi"/>
              </w:rPr>
              <w:t xml:space="preserve">In FRUMAROVÁ, F., GRYGAR, T., KOUDELKA, Z., POUPEROVÁ, O., POTĚŠIL, L., SUCHÁNEK, R., ŠKUREK, M. </w:t>
            </w:r>
            <w:r w:rsidRPr="00121A12">
              <w:rPr>
                <w:rFonts w:cstheme="minorHAnsi"/>
                <w:i/>
                <w:iCs/>
              </w:rPr>
              <w:t>Správní soudnictví.</w:t>
            </w:r>
            <w:r w:rsidRPr="00121A12">
              <w:rPr>
                <w:rFonts w:cstheme="minorHAnsi"/>
              </w:rPr>
              <w:t xml:space="preserve"> Praha: </w:t>
            </w:r>
            <w:proofErr w:type="spellStart"/>
            <w:r w:rsidRPr="00121A12">
              <w:rPr>
                <w:rFonts w:cstheme="minorHAnsi"/>
              </w:rPr>
              <w:t>Leges</w:t>
            </w:r>
            <w:proofErr w:type="spellEnd"/>
            <w:r w:rsidRPr="00121A12">
              <w:rPr>
                <w:rFonts w:cstheme="minorHAnsi"/>
              </w:rPr>
              <w:t xml:space="preserve">, 2022, s. 568-569; usnesení ÚS ze dne 23. 11. 2021 </w:t>
            </w:r>
            <w:proofErr w:type="spellStart"/>
            <w:r w:rsidRPr="00121A12">
              <w:rPr>
                <w:rFonts w:cstheme="minorHAnsi"/>
              </w:rPr>
              <w:t>sp</w:t>
            </w:r>
            <w:proofErr w:type="spellEnd"/>
            <w:r w:rsidRPr="00121A12">
              <w:rPr>
                <w:rFonts w:cstheme="minorHAnsi"/>
              </w:rPr>
              <w:t xml:space="preserve">. zn. III.ÚS 2842/21 (bod 9 odůvodnění). </w:t>
            </w:r>
          </w:p>
          <w:p w14:paraId="743C87A6" w14:textId="270A94C7" w:rsidR="00121A12" w:rsidRDefault="00121A12" w:rsidP="00121A12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1.4 </w:t>
            </w:r>
            <w:r w:rsidRPr="00FA4D6B">
              <w:rPr>
                <w:rFonts w:cstheme="minorHAnsi"/>
                <w:i/>
                <w:iCs/>
              </w:rPr>
              <w:t>„Opatření obecné povahy ve zvláštní právní úpravě“</w:t>
            </w:r>
            <w:r>
              <w:rPr>
                <w:rFonts w:cstheme="minorHAnsi"/>
              </w:rPr>
              <w:t xml:space="preserve"> zmiňuje úpravu v zákonu o státní památkové péči, zákonu o bankách, zákonu o ochraně přírody a krajiny, zákonu o ochraně veřejného zdraví a zákonu o silničním provozu. Těchto zvláštních zákonů je však podstatně více, samotná forma opatření obecné povahy je </w:t>
            </w:r>
            <w:r w:rsidR="00A84339">
              <w:rPr>
                <w:rFonts w:cstheme="minorHAnsi"/>
              </w:rPr>
              <w:t xml:space="preserve">pak </w:t>
            </w:r>
            <w:r>
              <w:rPr>
                <w:rFonts w:cstheme="minorHAnsi"/>
              </w:rPr>
              <w:t>přiřazena k více než 70 případům rozhodovací činnosti veřejné správy. S ohledem na téma práce</w:t>
            </w:r>
            <w:r w:rsidR="00A84339">
              <w:rPr>
                <w:rFonts w:cstheme="minorHAnsi"/>
              </w:rPr>
              <w:t xml:space="preserve">, resp. problematiku územního plánování, </w:t>
            </w:r>
            <w:r>
              <w:rPr>
                <w:rFonts w:cstheme="minorHAnsi"/>
              </w:rPr>
              <w:t>zde však chybí stavební zákon (měl by být uveden</w:t>
            </w:r>
            <w:r w:rsidR="00FF4076">
              <w:rPr>
                <w:rFonts w:cstheme="minorHAnsi"/>
              </w:rPr>
              <w:t xml:space="preserve">                    </w:t>
            </w:r>
            <w:r>
              <w:rPr>
                <w:rFonts w:cstheme="minorHAnsi"/>
              </w:rPr>
              <w:t xml:space="preserve"> v přehledu na prvním místě, s tím, že dále je </w:t>
            </w:r>
            <w:r w:rsidR="00FF4076">
              <w:rPr>
                <w:rFonts w:cstheme="minorHAnsi"/>
              </w:rPr>
              <w:t xml:space="preserve">kvalitně </w:t>
            </w:r>
            <w:r>
              <w:rPr>
                <w:rFonts w:cstheme="minorHAnsi"/>
              </w:rPr>
              <w:t>rozveden v dalších kapitolách), stejně tak s </w:t>
            </w:r>
            <w:r w:rsidR="00A84339">
              <w:rPr>
                <w:rFonts w:cstheme="minorHAnsi"/>
              </w:rPr>
              <w:t>problematikou</w:t>
            </w:r>
            <w:r>
              <w:rPr>
                <w:rFonts w:cstheme="minorHAnsi"/>
              </w:rPr>
              <w:t xml:space="preserve"> úzce souvisí</w:t>
            </w:r>
            <w:r w:rsidR="00FF40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vodní zákon (ochranné pásmo vodního zdroje </w:t>
            </w:r>
            <w:r w:rsidR="00FA4D6B">
              <w:rPr>
                <w:rFonts w:cstheme="minorHAnsi"/>
              </w:rPr>
              <w:t>stanoven</w:t>
            </w:r>
            <w:r w:rsidR="00FF4076">
              <w:rPr>
                <w:rFonts w:cstheme="minorHAnsi"/>
              </w:rPr>
              <w:t>é</w:t>
            </w:r>
            <w:r w:rsidR="00FA4D6B">
              <w:rPr>
                <w:rFonts w:cstheme="minorHAnsi"/>
              </w:rPr>
              <w:t xml:space="preserve"> formou opatření obecné povahy</w:t>
            </w:r>
            <w:r>
              <w:rPr>
                <w:rFonts w:cstheme="minorHAnsi"/>
              </w:rPr>
              <w:t xml:space="preserve">), </w:t>
            </w:r>
            <w:r w:rsidR="00A84339">
              <w:rPr>
                <w:rFonts w:cstheme="minorHAnsi"/>
              </w:rPr>
              <w:t>a některé další právní předpisy (např. zákon o civilním letectví a stanovení ochranného pásma leteckých staveb opatřením obecné povahy).</w:t>
            </w:r>
            <w:r>
              <w:rPr>
                <w:rFonts w:cstheme="minorHAnsi"/>
              </w:rPr>
              <w:t xml:space="preserve"> </w:t>
            </w:r>
            <w:r w:rsidR="00A84339">
              <w:rPr>
                <w:rFonts w:cstheme="minorHAnsi"/>
              </w:rPr>
              <w:t xml:space="preserve">Výklad o opatřeních obecné povahy např. v zákonu </w:t>
            </w:r>
            <w:r w:rsidR="00FF4076">
              <w:rPr>
                <w:rFonts w:cstheme="minorHAnsi"/>
              </w:rPr>
              <w:t xml:space="preserve">                    </w:t>
            </w:r>
            <w:r w:rsidR="00A84339">
              <w:rPr>
                <w:rFonts w:cstheme="minorHAnsi"/>
              </w:rPr>
              <w:t xml:space="preserve">o bankách bych s ohledem na téma práce vypustil a věnoval se tematicky relevantním </w:t>
            </w:r>
            <w:r w:rsidR="00FA4D6B">
              <w:rPr>
                <w:rFonts w:cstheme="minorHAnsi"/>
              </w:rPr>
              <w:t>zákonům.</w:t>
            </w:r>
          </w:p>
          <w:p w14:paraId="4485EE76" w14:textId="67B21404" w:rsidR="00A84339" w:rsidRDefault="00A84339" w:rsidP="00121A12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kap. 2 možná mohlo být </w:t>
            </w:r>
            <w:r w:rsidR="00FF4076">
              <w:rPr>
                <w:rFonts w:cstheme="minorHAnsi"/>
              </w:rPr>
              <w:t xml:space="preserve">blíže </w:t>
            </w:r>
            <w:r>
              <w:rPr>
                <w:rFonts w:cstheme="minorHAnsi"/>
              </w:rPr>
              <w:t xml:space="preserve">rozvedeno, že některá opatření obecné povahy jsou vydávána bez řízení </w:t>
            </w:r>
            <w:r w:rsidR="00FF4076"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t xml:space="preserve">o návrhu opatření </w:t>
            </w:r>
            <w:r w:rsidR="00FF4076">
              <w:rPr>
                <w:rFonts w:cstheme="minorHAnsi"/>
              </w:rPr>
              <w:t xml:space="preserve">podle </w:t>
            </w:r>
            <w:r>
              <w:rPr>
                <w:rFonts w:cstheme="minorHAnsi"/>
              </w:rPr>
              <w:t xml:space="preserve">§ 172 </w:t>
            </w:r>
            <w:proofErr w:type="spellStart"/>
            <w:r>
              <w:rPr>
                <w:rFonts w:cstheme="minorHAnsi"/>
              </w:rPr>
              <w:t>SpŘ</w:t>
            </w:r>
            <w:proofErr w:type="spellEnd"/>
            <w:r>
              <w:rPr>
                <w:rFonts w:cstheme="minorHAnsi"/>
              </w:rPr>
              <w:t>.</w:t>
            </w:r>
          </w:p>
          <w:p w14:paraId="7BAB840A" w14:textId="166F0ED6" w:rsidR="00A84339" w:rsidRDefault="00A84339" w:rsidP="00121A12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Přezkumné řízení není opravným prostředkem, ale prostředkem dozorčím. Nadto vlastně ani nejde </w:t>
            </w:r>
            <w:r w:rsidR="00182583">
              <w:rPr>
                <w:rFonts w:cstheme="minorHAnsi"/>
              </w:rPr>
              <w:t xml:space="preserve">                              </w:t>
            </w:r>
            <w:r>
              <w:rPr>
                <w:rFonts w:cstheme="minorHAnsi"/>
              </w:rPr>
              <w:t>o přezkumné řízení v pravém slova smyslu, ale o tzv. propůjčení formy (</w:t>
            </w:r>
            <w:r w:rsidR="00FA4D6B">
              <w:rPr>
                <w:rFonts w:cstheme="minorHAnsi"/>
              </w:rPr>
              <w:t>srov.</w:t>
            </w:r>
            <w:r>
              <w:rPr>
                <w:rFonts w:cstheme="minorHAnsi"/>
              </w:rPr>
              <w:t xml:space="preserve"> </w:t>
            </w:r>
            <w:r w:rsidRPr="00A84339">
              <w:rPr>
                <w:rFonts w:cstheme="minorHAnsi"/>
              </w:rPr>
              <w:t xml:space="preserve">POTĚŠIL, Lukáš. </w:t>
            </w:r>
            <w:r w:rsidRPr="00A84339">
              <w:rPr>
                <w:rFonts w:cstheme="minorHAnsi"/>
                <w:i/>
                <w:iCs/>
              </w:rPr>
              <w:t xml:space="preserve">Rozhodnutí </w:t>
            </w:r>
            <w:r w:rsidR="00FD3E03">
              <w:rPr>
                <w:rFonts w:cstheme="minorHAnsi"/>
                <w:i/>
                <w:iCs/>
              </w:rPr>
              <w:t xml:space="preserve">                </w:t>
            </w:r>
            <w:r w:rsidRPr="00A84339">
              <w:rPr>
                <w:rFonts w:cstheme="minorHAnsi"/>
                <w:i/>
                <w:iCs/>
              </w:rPr>
              <w:lastRenderedPageBreak/>
              <w:t>v přezkumném řízení a soudní přezkum</w:t>
            </w:r>
            <w:r w:rsidRPr="00A84339">
              <w:rPr>
                <w:rFonts w:cstheme="minorHAnsi"/>
              </w:rPr>
              <w:t>. Právní rozhledy, 2014, č. 19, s. 659-663</w:t>
            </w:r>
            <w:r>
              <w:rPr>
                <w:rFonts w:cstheme="minorHAnsi"/>
              </w:rPr>
              <w:t>)</w:t>
            </w:r>
            <w:r w:rsidR="00FF4076">
              <w:rPr>
                <w:rFonts w:cstheme="minorHAnsi"/>
              </w:rPr>
              <w:t xml:space="preserve">, což je ale z dalšího textu (byť nepřímo) </w:t>
            </w:r>
            <w:proofErr w:type="spellStart"/>
            <w:r w:rsidR="00FF4076">
              <w:rPr>
                <w:rFonts w:cstheme="minorHAnsi"/>
              </w:rPr>
              <w:t>seznatelné</w:t>
            </w:r>
            <w:proofErr w:type="spellEnd"/>
            <w:r w:rsidR="00FF4076">
              <w:rPr>
                <w:rFonts w:cstheme="minorHAnsi"/>
              </w:rPr>
              <w:t>.</w:t>
            </w:r>
          </w:p>
          <w:p w14:paraId="2F195D88" w14:textId="1F75ED89" w:rsidR="000E094A" w:rsidRPr="00005A65" w:rsidRDefault="00A84339" w:rsidP="00CD12C3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Řízení o návrhu na zrušení opatření obecné povahy nebo jeho části není upraveno v § 101 SŘS (str. 33 práce), ale v § 101a a násl. SŘS. Ustanovení § 10</w:t>
            </w:r>
            <w:r w:rsidR="00FF4076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SŘS upravuje </w:t>
            </w:r>
            <w:r w:rsidR="00005A65">
              <w:rPr>
                <w:rFonts w:cstheme="minorHAnsi"/>
              </w:rPr>
              <w:t xml:space="preserve">náhradu nákladů řízení o kompetenční žalobě. Patrně jde však o překlep. </w:t>
            </w:r>
            <w:r w:rsidR="00182583">
              <w:rPr>
                <w:rFonts w:cstheme="minorHAnsi"/>
              </w:rPr>
              <w:t>Ve vztahu k soudnímu přezkumu mohla diplomantka vycházet ze širšího spektra literatury.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E42602" w:rsidR="000E094A" w:rsidRDefault="006B71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9A465EC" w:rsidR="000E094A" w:rsidRPr="000E094A" w:rsidRDefault="00005A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na odpovídající úrovni, provázanost je velmi dobrá. S daty je pracováno korektním způsobem. Oceňuji časovou i finanční analýzu procesu pořízení územního plánu konkrétní obce.</w:t>
            </w:r>
          </w:p>
        </w:tc>
      </w:tr>
    </w:tbl>
    <w:p w14:paraId="530A7CCA" w14:textId="40F3078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2548505" w:rsidR="000E094A" w:rsidRDefault="006B71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3B102804" w:rsidR="000E094A" w:rsidRPr="00276C2E" w:rsidRDefault="00005A65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Návrhy k ekonomickým aspektům nového územního plánu jsou sice zpracovány poměrně stručně, ve spojení s dalšími částmi práce jsou však odůvodněné, úvahy diplomatky jsou </w:t>
            </w:r>
            <w:r w:rsidR="00FF4076">
              <w:rPr>
                <w:rFonts w:cstheme="minorHAnsi"/>
                <w:iCs/>
              </w:rPr>
              <w:t xml:space="preserve">logické a </w:t>
            </w:r>
            <w:r>
              <w:rPr>
                <w:rFonts w:cstheme="minorHAnsi"/>
                <w:iCs/>
              </w:rPr>
              <w:t>konzistentní. K praktické části nemám zásadnějších připomínek.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43F3891" w:rsidR="000E094A" w:rsidRDefault="006B71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1AEB51B" w:rsidR="000E094A" w:rsidRPr="00276C2E" w:rsidRDefault="00005A65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4"/>
              </w:rPr>
            </w:pPr>
            <w:r w:rsidRPr="00276C2E">
              <w:rPr>
                <w:rFonts w:cstheme="minorHAnsi"/>
                <w:iCs/>
                <w:szCs w:val="24"/>
              </w:rPr>
              <w:t xml:space="preserve">Formální úroveň práce je odpovídající, odborná terminologie je používána správně. Jazyková stránka práce je </w:t>
            </w:r>
            <w:r w:rsidR="00341876">
              <w:rPr>
                <w:rFonts w:cstheme="minorHAnsi"/>
                <w:iCs/>
                <w:szCs w:val="24"/>
              </w:rPr>
              <w:t>průměrná</w:t>
            </w:r>
            <w:r w:rsidR="00182583">
              <w:rPr>
                <w:rFonts w:cstheme="minorHAnsi"/>
                <w:iCs/>
                <w:szCs w:val="24"/>
              </w:rPr>
              <w:t>, překlepy jsou ojedinělé.</w:t>
            </w:r>
            <w:r w:rsidRPr="00276C2E">
              <w:rPr>
                <w:rFonts w:cstheme="minorHAnsi"/>
                <w:iCs/>
                <w:szCs w:val="24"/>
              </w:rPr>
              <w:t xml:space="preserve"> Z hlediska formátování lze vytknout snad jen předložky a spojky na konci řádků (a, </w:t>
            </w:r>
            <w:r w:rsidR="00FF4076">
              <w:rPr>
                <w:rFonts w:cstheme="minorHAnsi"/>
                <w:iCs/>
                <w:szCs w:val="24"/>
              </w:rPr>
              <w:t xml:space="preserve">s, </w:t>
            </w:r>
            <w:r w:rsidRPr="00276C2E">
              <w:rPr>
                <w:rFonts w:cstheme="minorHAnsi"/>
                <w:iCs/>
                <w:szCs w:val="24"/>
              </w:rPr>
              <w:t xml:space="preserve">v, k….). </w:t>
            </w:r>
            <w:r w:rsidR="00276C2E">
              <w:rPr>
                <w:rFonts w:cstheme="minorHAnsi"/>
                <w:iCs/>
                <w:szCs w:val="24"/>
              </w:rPr>
              <w:t xml:space="preserve">Při citování kolektivních děl se diplomantka občas dopouští nepřesností, když autorství připisuje vždy vedoucímu autorského kolektivu, nikoliv autorovi konkrétní kapitoly. Právní předpisy nejsou literaturou (str. 86), ale jinými zdroji.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390E32" w:rsidR="009C7318" w:rsidRDefault="00276C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3EDC4B8" w:rsidR="00D6308A" w:rsidRPr="000E094A" w:rsidRDefault="00276C2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je zpracována na dobré úrovni a splňuje požadavky standardně kladené na diplomové práce. Studentka prokázala schopnost samostatné práce</w:t>
            </w:r>
            <w:r w:rsidR="00182583">
              <w:rPr>
                <w:rFonts w:cstheme="minorHAnsi"/>
              </w:rPr>
              <w:t xml:space="preserve"> a splnila zadání</w:t>
            </w:r>
            <w:r>
              <w:rPr>
                <w:rFonts w:cstheme="minorHAnsi"/>
              </w:rPr>
              <w:t>, praktická část</w:t>
            </w:r>
            <w:r w:rsidR="00182583">
              <w:rPr>
                <w:rFonts w:cstheme="minorHAnsi"/>
              </w:rPr>
              <w:t xml:space="preserve"> její práce</w:t>
            </w:r>
            <w:r>
              <w:rPr>
                <w:rFonts w:cstheme="minorHAnsi"/>
              </w:rPr>
              <w:t xml:space="preserve"> je přínosná. Nahrnuji práci ohodnotit stupněm B s tím, že v případě velmi </w:t>
            </w:r>
            <w:r w:rsidR="00182583">
              <w:rPr>
                <w:rFonts w:cstheme="minorHAnsi"/>
              </w:rPr>
              <w:t xml:space="preserve">dobrého </w:t>
            </w:r>
            <w:r>
              <w:rPr>
                <w:rFonts w:cstheme="minorHAnsi"/>
              </w:rPr>
              <w:t xml:space="preserve">zodpovězení </w:t>
            </w:r>
            <w:r w:rsidR="00182583">
              <w:rPr>
                <w:rFonts w:cstheme="minorHAnsi"/>
              </w:rPr>
              <w:t xml:space="preserve">otázek u obhajoby a reagování na posudky, lze uvažovat i </w:t>
            </w:r>
            <w:r w:rsidR="00B741F1">
              <w:rPr>
                <w:rFonts w:cstheme="minorHAnsi"/>
              </w:rPr>
              <w:t xml:space="preserve">o </w:t>
            </w:r>
            <w:r w:rsidR="00182583">
              <w:rPr>
                <w:rFonts w:cstheme="minorHAnsi"/>
              </w:rPr>
              <w:t xml:space="preserve">známce A. </w:t>
            </w:r>
          </w:p>
        </w:tc>
      </w:tr>
    </w:tbl>
    <w:bookmarkEnd w:id="0"/>
    <w:p w14:paraId="00B15EF1" w14:textId="10742CB8" w:rsidR="0024258E" w:rsidRPr="00FD3E03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AED477E" w:rsidR="009C7318" w:rsidRDefault="0018258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minulosti byl územní plán obce vydáván formou obecně závazné vyhlášky, nikoliv formou opatření obecné povahy. S „návratem“ k tomuto konceptu původně počítala i jedna z variant </w:t>
      </w:r>
      <w:r w:rsidR="00FD3E03">
        <w:rPr>
          <w:rFonts w:cstheme="minorHAnsi"/>
        </w:rPr>
        <w:t xml:space="preserve">věcného záměru k novému stavebnímu zákonu. </w:t>
      </w:r>
      <w:r>
        <w:rPr>
          <w:rFonts w:cstheme="minorHAnsi"/>
        </w:rPr>
        <w:t>Uveďte, jaké jsou rozdíly stran soudního přezkumu těchto dvou různých forem</w:t>
      </w:r>
      <w:r w:rsidR="00FD3E03">
        <w:rPr>
          <w:rFonts w:cstheme="minorHAnsi"/>
        </w:rPr>
        <w:t xml:space="preserve"> </w:t>
      </w:r>
      <w:r w:rsidR="000A42DD">
        <w:rPr>
          <w:rFonts w:cstheme="minorHAnsi"/>
        </w:rPr>
        <w:t xml:space="preserve">                                   </w:t>
      </w:r>
      <w:r w:rsidR="00FD3E03">
        <w:rPr>
          <w:rFonts w:cstheme="minorHAnsi"/>
        </w:rPr>
        <w:t xml:space="preserve">a zdůvodněte, které z řešení (kterou z forem) pokládáte v rovině </w:t>
      </w:r>
      <w:r w:rsidR="00FD3E03" w:rsidRPr="00FD3E03">
        <w:rPr>
          <w:rFonts w:cstheme="minorHAnsi"/>
          <w:i/>
          <w:iCs/>
        </w:rPr>
        <w:t xml:space="preserve">de lege </w:t>
      </w:r>
      <w:proofErr w:type="spellStart"/>
      <w:r w:rsidR="00FD3E03" w:rsidRPr="00FD3E03">
        <w:rPr>
          <w:rFonts w:cstheme="minorHAnsi"/>
          <w:i/>
          <w:iCs/>
        </w:rPr>
        <w:t>ferenda</w:t>
      </w:r>
      <w:proofErr w:type="spellEnd"/>
      <w:r w:rsidR="00FD3E03">
        <w:rPr>
          <w:rFonts w:cstheme="minorHAnsi"/>
        </w:rPr>
        <w:t xml:space="preserve"> </w:t>
      </w:r>
      <w:r w:rsidR="000A42DD">
        <w:rPr>
          <w:rFonts w:cstheme="minorHAnsi"/>
        </w:rPr>
        <w:t xml:space="preserve">pro územní plán </w:t>
      </w:r>
      <w:r w:rsidR="00FD3E03">
        <w:rPr>
          <w:rFonts w:cstheme="minorHAnsi"/>
        </w:rPr>
        <w:t>jako vhodnější.</w:t>
      </w:r>
      <w:r>
        <w:rPr>
          <w:rFonts w:cstheme="minorHAnsi"/>
        </w:rPr>
        <w:t xml:space="preserve"> </w:t>
      </w:r>
    </w:p>
    <w:p w14:paraId="55DA52BC" w14:textId="2400B620" w:rsidR="005C4ACA" w:rsidRDefault="00FD3E0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Vyjádřete </w:t>
      </w:r>
      <w:r w:rsidR="000A42DD">
        <w:rPr>
          <w:rFonts w:cstheme="minorHAnsi"/>
        </w:rPr>
        <w:t>svůj názor k tomu</w:t>
      </w:r>
      <w:r>
        <w:rPr>
          <w:rFonts w:cstheme="minorHAnsi"/>
        </w:rPr>
        <w:t>, že jednou z novel SŘS došlo ke zkrácení lhůty k podání návrhu na zrušení opatření obecné povahy ze 3 let od nabytí</w:t>
      </w:r>
      <w:r w:rsidR="000A42DD">
        <w:rPr>
          <w:rFonts w:cstheme="minorHAnsi"/>
        </w:rPr>
        <w:t xml:space="preserve"> jeho</w:t>
      </w:r>
      <w:r>
        <w:rPr>
          <w:rFonts w:cstheme="minorHAnsi"/>
        </w:rPr>
        <w:t xml:space="preserve"> účinnosti na 1 rok. </w:t>
      </w:r>
    </w:p>
    <w:p w14:paraId="320D2333" w14:textId="78F33678" w:rsidR="002B7E78" w:rsidRPr="000A42DD" w:rsidRDefault="00FD3E03" w:rsidP="002B7E7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vliv má nepodání námitek či připomínek v procesu přijímání územního plánu na následné řízení o návrhu na jeho zrušení</w:t>
      </w:r>
      <w:r w:rsidR="000A42DD">
        <w:rPr>
          <w:rFonts w:cstheme="minorHAnsi"/>
        </w:rPr>
        <w:t xml:space="preserve"> správním soudem</w:t>
      </w:r>
      <w:r>
        <w:rPr>
          <w:rFonts w:cstheme="minorHAnsi"/>
          <w:sz w:val="24"/>
          <w:szCs w:val="24"/>
        </w:rPr>
        <w:t>?</w:t>
      </w:r>
    </w:p>
    <w:p w14:paraId="5FB86AE3" w14:textId="77777777" w:rsidR="000A42DD" w:rsidRDefault="000A42DD" w:rsidP="000A42DD">
      <w:pPr>
        <w:spacing w:after="120" w:line="240" w:lineRule="auto"/>
        <w:jc w:val="both"/>
      </w:pPr>
    </w:p>
    <w:p w14:paraId="4061337E" w14:textId="257DA1E4" w:rsidR="002B7E78" w:rsidRPr="000A42DD" w:rsidRDefault="009C7318" w:rsidP="000A42DD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D3E0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D3E0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721C69" w14:textId="0C202E7F" w:rsidR="002B7E78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D3E03">
            <w:rPr>
              <w:rFonts w:cstheme="minorHAnsi"/>
            </w:rPr>
            <w:t>05.05.2023</w:t>
          </w:r>
        </w:sdtContent>
      </w:sdt>
      <w:r w:rsidR="0085398A">
        <w:rPr>
          <w:rFonts w:cstheme="minorHAnsi"/>
        </w:rPr>
        <w:tab/>
      </w:r>
      <w:r w:rsidR="002B7E78">
        <w:rPr>
          <w:rFonts w:cstheme="minorHAnsi"/>
        </w:rPr>
        <w:t xml:space="preserve">    </w:t>
      </w:r>
      <w:r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>
        <w:rPr>
          <w:rFonts w:cstheme="minorHAnsi"/>
        </w:rPr>
        <w:t>P</w:t>
      </w:r>
    </w:p>
    <w:p w14:paraId="01BAEDA5" w14:textId="5E414CB6" w:rsidR="002B7E78" w:rsidRPr="000E094A" w:rsidRDefault="002B7E7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JUDr. Tomáš Grygar, v. r.</w:t>
      </w:r>
    </w:p>
    <w:sectPr w:rsidR="002B7E7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D8BC" w14:textId="77777777" w:rsidR="00B04ADA" w:rsidRDefault="00B04ADA" w:rsidP="00A40E93">
      <w:pPr>
        <w:spacing w:after="0" w:line="240" w:lineRule="auto"/>
      </w:pPr>
      <w:r>
        <w:separator/>
      </w:r>
    </w:p>
  </w:endnote>
  <w:endnote w:type="continuationSeparator" w:id="0">
    <w:p w14:paraId="089D50C2" w14:textId="77777777" w:rsidR="00B04ADA" w:rsidRDefault="00B04AD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3952" w14:textId="77777777" w:rsidR="00B04ADA" w:rsidRDefault="00B04ADA" w:rsidP="00A40E93">
      <w:pPr>
        <w:spacing w:after="0" w:line="240" w:lineRule="auto"/>
      </w:pPr>
      <w:r>
        <w:separator/>
      </w:r>
    </w:p>
  </w:footnote>
  <w:footnote w:type="continuationSeparator" w:id="0">
    <w:p w14:paraId="7FB72E09" w14:textId="77777777" w:rsidR="00B04ADA" w:rsidRDefault="00B04AD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2870"/>
    <w:multiLevelType w:val="hybridMultilevel"/>
    <w:tmpl w:val="959AC770"/>
    <w:lvl w:ilvl="0" w:tplc="CDF02B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13F42"/>
    <w:multiLevelType w:val="hybridMultilevel"/>
    <w:tmpl w:val="8128426A"/>
    <w:lvl w:ilvl="0" w:tplc="302C7B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692324">
    <w:abstractNumId w:val="1"/>
  </w:num>
  <w:num w:numId="2" w16cid:durableId="1618289880">
    <w:abstractNumId w:val="4"/>
  </w:num>
  <w:num w:numId="3" w16cid:durableId="1085761905">
    <w:abstractNumId w:val="3"/>
  </w:num>
  <w:num w:numId="4" w16cid:durableId="1024211147">
    <w:abstractNumId w:val="2"/>
  </w:num>
  <w:num w:numId="5" w16cid:durableId="918368440">
    <w:abstractNumId w:val="5"/>
  </w:num>
  <w:num w:numId="6" w16cid:durableId="893274506">
    <w:abstractNumId w:val="0"/>
  </w:num>
  <w:num w:numId="7" w16cid:durableId="1202088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A65"/>
    <w:rsid w:val="0006551C"/>
    <w:rsid w:val="000A42DD"/>
    <w:rsid w:val="000C0458"/>
    <w:rsid w:val="000E094A"/>
    <w:rsid w:val="000E6CEA"/>
    <w:rsid w:val="00112DB2"/>
    <w:rsid w:val="00121A12"/>
    <w:rsid w:val="00132C77"/>
    <w:rsid w:val="00144F5B"/>
    <w:rsid w:val="00182583"/>
    <w:rsid w:val="001B71A5"/>
    <w:rsid w:val="0024258E"/>
    <w:rsid w:val="00276C2E"/>
    <w:rsid w:val="0029651C"/>
    <w:rsid w:val="002B7E78"/>
    <w:rsid w:val="002C5ED6"/>
    <w:rsid w:val="00341876"/>
    <w:rsid w:val="004D378C"/>
    <w:rsid w:val="005C4ACA"/>
    <w:rsid w:val="0067082B"/>
    <w:rsid w:val="00694399"/>
    <w:rsid w:val="006B71A2"/>
    <w:rsid w:val="006F341B"/>
    <w:rsid w:val="00733E72"/>
    <w:rsid w:val="0073639B"/>
    <w:rsid w:val="00743A04"/>
    <w:rsid w:val="007539AC"/>
    <w:rsid w:val="007553A6"/>
    <w:rsid w:val="007E17F3"/>
    <w:rsid w:val="0085398A"/>
    <w:rsid w:val="008B781B"/>
    <w:rsid w:val="008E2072"/>
    <w:rsid w:val="00974EA2"/>
    <w:rsid w:val="00987B93"/>
    <w:rsid w:val="009A539C"/>
    <w:rsid w:val="009C322A"/>
    <w:rsid w:val="009C7318"/>
    <w:rsid w:val="00A33035"/>
    <w:rsid w:val="00A40E93"/>
    <w:rsid w:val="00A503CE"/>
    <w:rsid w:val="00A7527E"/>
    <w:rsid w:val="00A84339"/>
    <w:rsid w:val="00B04ADA"/>
    <w:rsid w:val="00B14451"/>
    <w:rsid w:val="00B741F1"/>
    <w:rsid w:val="00BA16DD"/>
    <w:rsid w:val="00C239E8"/>
    <w:rsid w:val="00CA34A9"/>
    <w:rsid w:val="00CD12C3"/>
    <w:rsid w:val="00CE1347"/>
    <w:rsid w:val="00D6308A"/>
    <w:rsid w:val="00DC7D52"/>
    <w:rsid w:val="00E22423"/>
    <w:rsid w:val="00EF1720"/>
    <w:rsid w:val="00FA4D6B"/>
    <w:rsid w:val="00FC2852"/>
    <w:rsid w:val="00FD3E03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2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F429F"/>
    <w:rsid w:val="00510546"/>
    <w:rsid w:val="005E083B"/>
    <w:rsid w:val="006F2AB0"/>
    <w:rsid w:val="009C2E66"/>
    <w:rsid w:val="00A00291"/>
    <w:rsid w:val="00CA2E09"/>
    <w:rsid w:val="00DE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1007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Tomáš Grygar</cp:lastModifiedBy>
  <cp:revision>21</cp:revision>
  <cp:lastPrinted>2022-03-14T11:55:00Z</cp:lastPrinted>
  <dcterms:created xsi:type="dcterms:W3CDTF">2023-04-30T14:15:00Z</dcterms:created>
  <dcterms:modified xsi:type="dcterms:W3CDTF">2023-05-11T17:02:00Z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