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68" w:rsidRPr="0045226F" w:rsidRDefault="004B1D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4B1D68" w:rsidRPr="0045226F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b/>
                <w:color w:val="000000"/>
                <w:lang w:val="en-US"/>
              </w:rPr>
              <w:t>POSUDEK VEDOUCÍHO BAKALÁŘSKÉ PRÁCE</w:t>
            </w:r>
          </w:p>
        </w:tc>
      </w:tr>
      <w:tr w:rsidR="004B1D68" w:rsidRPr="0045226F">
        <w:tc>
          <w:tcPr>
            <w:tcW w:w="2808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Jméno</w:t>
            </w:r>
            <w:proofErr w:type="spellEnd"/>
            <w:r w:rsidRPr="0045226F">
              <w:rPr>
                <w:color w:val="000000"/>
                <w:lang w:val="en-US"/>
              </w:rPr>
              <w:t xml:space="preserve"> a </w:t>
            </w:r>
            <w:proofErr w:type="spellStart"/>
            <w:r w:rsidRPr="0045226F">
              <w:rPr>
                <w:color w:val="000000"/>
                <w:lang w:val="en-US"/>
              </w:rPr>
              <w:t>příjmení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45226F">
              <w:rPr>
                <w:lang w:val="en-US"/>
              </w:rPr>
              <w:t>David Drštička</w:t>
            </w:r>
          </w:p>
        </w:tc>
      </w:tr>
      <w:tr w:rsidR="004B1D68" w:rsidRPr="0045226F">
        <w:tc>
          <w:tcPr>
            <w:tcW w:w="2808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Název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 w:rsidP="0074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45226F">
              <w:rPr>
                <w:lang w:val="en-US"/>
              </w:rPr>
              <w:t>An Analysis of the Use of NFTs in the Marketing Strategies of Selected Czech Football Clubs</w:t>
            </w:r>
          </w:p>
        </w:tc>
      </w:tr>
      <w:tr w:rsidR="004B1D68" w:rsidRPr="0045226F">
        <w:tc>
          <w:tcPr>
            <w:tcW w:w="2808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Vedoucí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45226F">
              <w:rPr>
                <w:lang w:val="en-US"/>
              </w:rPr>
              <w:t>Mgr. Petr Dujka</w:t>
            </w:r>
          </w:p>
        </w:tc>
      </w:tr>
      <w:tr w:rsidR="004B1D68" w:rsidRPr="0045226F">
        <w:tc>
          <w:tcPr>
            <w:tcW w:w="2808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Obor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Anglický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jazyk</w:t>
            </w:r>
            <w:proofErr w:type="spellEnd"/>
            <w:r w:rsidRPr="0045226F">
              <w:rPr>
                <w:color w:val="000000"/>
                <w:lang w:val="en-US"/>
              </w:rPr>
              <w:t xml:space="preserve"> pro </w:t>
            </w:r>
            <w:proofErr w:type="spellStart"/>
            <w:r w:rsidRPr="0045226F">
              <w:rPr>
                <w:color w:val="000000"/>
                <w:lang w:val="en-US"/>
              </w:rPr>
              <w:t>manažerskou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praxi</w:t>
            </w:r>
            <w:proofErr w:type="spellEnd"/>
          </w:p>
        </w:tc>
      </w:tr>
      <w:tr w:rsidR="004B1D68" w:rsidRPr="0045226F">
        <w:tc>
          <w:tcPr>
            <w:tcW w:w="2808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 xml:space="preserve">Forma </w:t>
            </w:r>
            <w:proofErr w:type="spellStart"/>
            <w:r w:rsidRPr="0045226F">
              <w:rPr>
                <w:color w:val="000000"/>
                <w:lang w:val="en-US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Prezenční</w:t>
            </w:r>
            <w:proofErr w:type="spellEnd"/>
          </w:p>
        </w:tc>
      </w:tr>
      <w:tr w:rsidR="004B1D68" w:rsidRPr="0045226F">
        <w:tc>
          <w:tcPr>
            <w:tcW w:w="2808" w:type="dxa"/>
            <w:vAlign w:val="center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Kritéria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hodnocení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7020" w:type="dxa"/>
            <w:gridSpan w:val="8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Stupeň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hodnocení</w:t>
            </w:r>
            <w:proofErr w:type="spellEnd"/>
          </w:p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dle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stupnice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ECTS</w:t>
            </w:r>
          </w:p>
        </w:tc>
      </w:tr>
      <w:tr w:rsidR="004B1D68" w:rsidRPr="0045226F">
        <w:tc>
          <w:tcPr>
            <w:tcW w:w="9828" w:type="dxa"/>
            <w:gridSpan w:val="9"/>
            <w:shd w:val="clear" w:color="auto" w:fill="A6A6A6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  <w:lang w:val="en-US"/>
              </w:rPr>
            </w:pPr>
            <w:proofErr w:type="spellStart"/>
            <w:r w:rsidRPr="0045226F">
              <w:rPr>
                <w:b/>
                <w:color w:val="FFFFFF"/>
                <w:lang w:val="en-US"/>
              </w:rPr>
              <w:t>Formální</w:t>
            </w:r>
            <w:proofErr w:type="spellEnd"/>
            <w:r w:rsidRPr="0045226F">
              <w:rPr>
                <w:b/>
                <w:color w:val="FFFFFF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FFFFFF"/>
                <w:lang w:val="en-US"/>
              </w:rPr>
              <w:t>stránka</w:t>
            </w:r>
            <w:proofErr w:type="spellEnd"/>
            <w:r w:rsidRPr="0045226F">
              <w:rPr>
                <w:b/>
                <w:color w:val="FFFFFF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FFFFFF"/>
                <w:lang w:val="en-US"/>
              </w:rPr>
              <w:t>práce</w:t>
            </w:r>
            <w:proofErr w:type="spellEnd"/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Přehlednost</w:t>
            </w:r>
            <w:proofErr w:type="spellEnd"/>
            <w:r w:rsidRPr="0045226F">
              <w:rPr>
                <w:color w:val="000000"/>
                <w:lang w:val="en-US"/>
              </w:rPr>
              <w:t xml:space="preserve"> a </w:t>
            </w:r>
            <w:proofErr w:type="spellStart"/>
            <w:r w:rsidRPr="0045226F">
              <w:rPr>
                <w:color w:val="000000"/>
                <w:lang w:val="en-US"/>
              </w:rPr>
              <w:t>členění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Úroveň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jazykového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zpracování</w:t>
            </w:r>
            <w:proofErr w:type="spellEnd"/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Dodržení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citační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normy</w:t>
            </w:r>
            <w:proofErr w:type="spellEnd"/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B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9828" w:type="dxa"/>
            <w:gridSpan w:val="9"/>
            <w:shd w:val="clear" w:color="auto" w:fill="A6A6A6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FFFFFF"/>
                <w:lang w:val="en-US"/>
              </w:rPr>
              <w:t>Obsahová</w:t>
            </w:r>
            <w:proofErr w:type="spellEnd"/>
            <w:r w:rsidRPr="0045226F">
              <w:rPr>
                <w:b/>
                <w:color w:val="FFFFFF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FFFFFF"/>
                <w:lang w:val="en-US"/>
              </w:rPr>
              <w:t>stránka</w:t>
            </w:r>
            <w:proofErr w:type="spellEnd"/>
            <w:r w:rsidRPr="0045226F">
              <w:rPr>
                <w:b/>
                <w:color w:val="FFFFFF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FFFFFF"/>
                <w:lang w:val="en-US"/>
              </w:rPr>
              <w:t>práce</w:t>
            </w:r>
            <w:proofErr w:type="spellEnd"/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Formulace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cílů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B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  <w:r w:rsidRPr="0045226F">
              <w:rPr>
                <w:color w:val="000000"/>
                <w:lang w:val="en-US"/>
              </w:rPr>
              <w:t xml:space="preserve"> s </w:t>
            </w:r>
            <w:proofErr w:type="spellStart"/>
            <w:r w:rsidRPr="0045226F">
              <w:rPr>
                <w:color w:val="000000"/>
                <w:lang w:val="en-US"/>
              </w:rPr>
              <w:t>odbornou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literaturou</w:t>
            </w:r>
            <w:proofErr w:type="spellEnd"/>
            <w:r w:rsidRPr="0045226F">
              <w:rPr>
                <w:color w:val="000000"/>
                <w:lang w:val="en-US"/>
              </w:rPr>
              <w:t xml:space="preserve"> (</w:t>
            </w:r>
            <w:proofErr w:type="spellStart"/>
            <w:r w:rsidRPr="0045226F">
              <w:rPr>
                <w:color w:val="000000"/>
                <w:lang w:val="en-US"/>
              </w:rPr>
              <w:t>uvádění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zdrojů</w:t>
            </w:r>
            <w:proofErr w:type="spellEnd"/>
            <w:r w:rsidRPr="0045226F">
              <w:rPr>
                <w:color w:val="000000"/>
                <w:lang w:val="en-US"/>
              </w:rPr>
              <w:t xml:space="preserve">, </w:t>
            </w:r>
            <w:proofErr w:type="spellStart"/>
            <w:r w:rsidRPr="0045226F">
              <w:rPr>
                <w:color w:val="000000"/>
                <w:lang w:val="en-US"/>
              </w:rPr>
              <w:t>kritický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přístup</w:t>
            </w:r>
            <w:proofErr w:type="spellEnd"/>
            <w:r w:rsidRPr="0045226F">
              <w:rPr>
                <w:color w:val="000000"/>
                <w:lang w:val="en-US"/>
              </w:rPr>
              <w:t>)</w:t>
            </w:r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Metodika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zpracování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výzkumného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problému</w:t>
            </w:r>
            <w:proofErr w:type="spellEnd"/>
          </w:p>
        </w:tc>
        <w:tc>
          <w:tcPr>
            <w:tcW w:w="507" w:type="dxa"/>
            <w:vAlign w:val="center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  <w:vAlign w:val="center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  <w:vAlign w:val="center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  <w:vAlign w:val="center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Úroveň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analytické</w:t>
            </w:r>
            <w:proofErr w:type="spellEnd"/>
            <w:r w:rsidRPr="0045226F">
              <w:rPr>
                <w:color w:val="000000"/>
                <w:lang w:val="en-US"/>
              </w:rPr>
              <w:t xml:space="preserve"> a </w:t>
            </w:r>
            <w:proofErr w:type="spellStart"/>
            <w:r w:rsidRPr="0045226F">
              <w:rPr>
                <w:color w:val="000000"/>
                <w:lang w:val="en-US"/>
              </w:rPr>
              <w:t>interpretační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složky</w:t>
            </w:r>
            <w:proofErr w:type="spellEnd"/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Formulace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závěrů</w:t>
            </w:r>
            <w:proofErr w:type="spellEnd"/>
            <w:r w:rsidRPr="0045226F">
              <w:rPr>
                <w:color w:val="000000"/>
                <w:lang w:val="en-US"/>
              </w:rPr>
              <w:t xml:space="preserve"> a </w:t>
            </w:r>
            <w:proofErr w:type="spellStart"/>
            <w:r w:rsidRPr="0045226F">
              <w:rPr>
                <w:color w:val="000000"/>
                <w:lang w:val="en-US"/>
              </w:rPr>
              <w:t>splnění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cílů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Originalita</w:t>
            </w:r>
            <w:proofErr w:type="spellEnd"/>
            <w:r w:rsidRPr="0045226F">
              <w:rPr>
                <w:color w:val="000000"/>
                <w:lang w:val="en-US"/>
              </w:rPr>
              <w:t xml:space="preserve"> a </w:t>
            </w:r>
            <w:proofErr w:type="spellStart"/>
            <w:r w:rsidRPr="0045226F">
              <w:rPr>
                <w:color w:val="000000"/>
                <w:lang w:val="en-US"/>
              </w:rPr>
              <w:t>odborný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přínos</w:t>
            </w:r>
            <w:proofErr w:type="spellEnd"/>
            <w:r w:rsidRPr="0045226F">
              <w:rPr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color w:val="000000"/>
                <w:lang w:val="en-US"/>
              </w:rPr>
              <w:t>práce</w:t>
            </w:r>
            <w:proofErr w:type="spellEnd"/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9828" w:type="dxa"/>
            <w:gridSpan w:val="9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Odůvodnění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hodnocení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práce</w:t>
            </w:r>
            <w:proofErr w:type="spellEnd"/>
            <w:r w:rsidRPr="0045226F">
              <w:rPr>
                <w:b/>
                <w:color w:val="000000"/>
                <w:lang w:val="en-US"/>
              </w:rPr>
              <w:t>:</w:t>
            </w:r>
          </w:p>
          <w:p w:rsidR="004B1D68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45226F">
              <w:rPr>
                <w:lang w:val="en-US"/>
              </w:rPr>
              <w:t xml:space="preserve">The ultimate goal of the thesis is to devise a potential marketing strategy using NFTs in selected football clubs in the Czech Republic. The theoretical part provides a </w:t>
            </w:r>
            <w:r w:rsidR="00FF34DE">
              <w:rPr>
                <w:lang w:val="en-US"/>
              </w:rPr>
              <w:t>well thought out</w:t>
            </w:r>
            <w:r w:rsidRPr="0045226F">
              <w:rPr>
                <w:lang w:val="en-US"/>
              </w:rPr>
              <w:t xml:space="preserve"> foundation for the thesis, looking at topics re</w:t>
            </w:r>
            <w:r w:rsidR="0045226F">
              <w:rPr>
                <w:lang w:val="en-US"/>
              </w:rPr>
              <w:t xml:space="preserve">lated to the area of </w:t>
            </w:r>
            <w:proofErr w:type="spellStart"/>
            <w:r w:rsidR="0045226F">
              <w:rPr>
                <w:lang w:val="en-US"/>
              </w:rPr>
              <w:t>blockchain</w:t>
            </w:r>
            <w:proofErr w:type="spellEnd"/>
            <w:r w:rsidR="0045226F">
              <w:rPr>
                <w:lang w:val="en-US"/>
              </w:rPr>
              <w:t xml:space="preserve">, </w:t>
            </w:r>
            <w:r w:rsidRPr="0045226F">
              <w:rPr>
                <w:lang w:val="en-US"/>
              </w:rPr>
              <w:t>NFTs</w:t>
            </w:r>
            <w:r w:rsidR="0045226F">
              <w:rPr>
                <w:lang w:val="en-US"/>
              </w:rPr>
              <w:t>, t</w:t>
            </w:r>
            <w:r w:rsidRPr="0045226F">
              <w:rPr>
                <w:lang w:val="en-US"/>
              </w:rPr>
              <w:t xml:space="preserve">he author </w:t>
            </w:r>
            <w:r w:rsidR="00456FFE">
              <w:rPr>
                <w:lang w:val="en-US"/>
              </w:rPr>
              <w:t xml:space="preserve">effectively </w:t>
            </w:r>
            <w:r w:rsidRPr="0045226F">
              <w:rPr>
                <w:lang w:val="en-US"/>
              </w:rPr>
              <w:t xml:space="preserve">analyzes examples of NFTs which have been implemented abroad. </w:t>
            </w:r>
            <w:r w:rsidR="0045226F">
              <w:rPr>
                <w:lang w:val="en-US"/>
              </w:rPr>
              <w:t xml:space="preserve">The </w:t>
            </w:r>
            <w:r w:rsidRPr="0045226F">
              <w:rPr>
                <w:lang w:val="en-US"/>
              </w:rPr>
              <w:t xml:space="preserve">author suggests </w:t>
            </w:r>
            <w:r w:rsidR="00456FFE">
              <w:rPr>
                <w:lang w:val="en-US"/>
              </w:rPr>
              <w:t xml:space="preserve">potential </w:t>
            </w:r>
            <w:r w:rsidR="0045226F">
              <w:rPr>
                <w:lang w:val="en-US"/>
              </w:rPr>
              <w:t>uses of NFTs in marketing strategies of three</w:t>
            </w:r>
            <w:r w:rsidRPr="0045226F">
              <w:rPr>
                <w:lang w:val="en-US"/>
              </w:rPr>
              <w:t xml:space="preserve"> Czech </w:t>
            </w:r>
            <w:r w:rsidR="0045226F">
              <w:rPr>
                <w:lang w:val="en-US"/>
              </w:rPr>
              <w:t xml:space="preserve">football </w:t>
            </w:r>
            <w:r w:rsidRPr="0045226F">
              <w:rPr>
                <w:lang w:val="en-US"/>
              </w:rPr>
              <w:t xml:space="preserve">clubs. The thesis deals with a current topic, </w:t>
            </w:r>
            <w:r w:rsidR="003827B9">
              <w:rPr>
                <w:lang w:val="en-US"/>
              </w:rPr>
              <w:t>presents</w:t>
            </w:r>
            <w:r w:rsidRPr="0045226F">
              <w:rPr>
                <w:lang w:val="en-US"/>
              </w:rPr>
              <w:t xml:space="preserve"> useful insights as well as suggestions for viable strategies using NFTs in Czech football. For context and in order to use them as a base for his suggestions</w:t>
            </w:r>
            <w:r w:rsidR="0045226F">
              <w:rPr>
                <w:lang w:val="en-US"/>
              </w:rPr>
              <w:t>, t</w:t>
            </w:r>
            <w:r w:rsidRPr="0045226F">
              <w:rPr>
                <w:lang w:val="en-US"/>
              </w:rPr>
              <w:t>he thesis outlines marketing strategies of selected football clubs</w:t>
            </w:r>
            <w:r w:rsidR="0045226F">
              <w:rPr>
                <w:lang w:val="en-US"/>
              </w:rPr>
              <w:t xml:space="preserve"> and finds opportunities for NFT utilization</w:t>
            </w:r>
            <w:r w:rsidRPr="0045226F">
              <w:rPr>
                <w:lang w:val="en-US"/>
              </w:rPr>
              <w:t>. I appreciate that the author attempts to come up with NFTs with real-life utility. Both parts of the thesis show thorough</w:t>
            </w:r>
            <w:r w:rsidR="00456FFE">
              <w:rPr>
                <w:lang w:val="en-US"/>
              </w:rPr>
              <w:t xml:space="preserve"> and consistent work, </w:t>
            </w:r>
            <w:r w:rsidR="00FF34DE">
              <w:rPr>
                <w:lang w:val="en-US"/>
              </w:rPr>
              <w:t xml:space="preserve">professional </w:t>
            </w:r>
            <w:r w:rsidR="00456FFE">
              <w:rPr>
                <w:lang w:val="en-US"/>
              </w:rPr>
              <w:t xml:space="preserve">analyses and commentary – all of </w:t>
            </w:r>
            <w:r w:rsidR="0045226F">
              <w:rPr>
                <w:lang w:val="en-US"/>
              </w:rPr>
              <w:t xml:space="preserve">which </w:t>
            </w:r>
            <w:r w:rsidR="00731DFE">
              <w:rPr>
                <w:lang w:val="en-US"/>
              </w:rPr>
              <w:t xml:space="preserve">result in a thesis on a high level. The quality also stems </w:t>
            </w:r>
            <w:r w:rsidRPr="0045226F">
              <w:rPr>
                <w:lang w:val="en-US"/>
              </w:rPr>
              <w:t>from the author’s keen interest</w:t>
            </w:r>
            <w:r w:rsidR="0045226F">
              <w:rPr>
                <w:lang w:val="en-US"/>
              </w:rPr>
              <w:t xml:space="preserve">, </w:t>
            </w:r>
            <w:r w:rsidR="00731DFE">
              <w:rPr>
                <w:lang w:val="en-US"/>
              </w:rPr>
              <w:t>initiative</w:t>
            </w:r>
            <w:r w:rsidR="003827B9">
              <w:rPr>
                <w:lang w:val="en-US"/>
              </w:rPr>
              <w:t xml:space="preserve"> and motivation</w:t>
            </w:r>
            <w:r w:rsidR="0045226F">
              <w:rPr>
                <w:lang w:val="en-US"/>
              </w:rPr>
              <w:t xml:space="preserve"> as well as the willingness to explore the topic in greater detail</w:t>
            </w:r>
            <w:r w:rsidRPr="0045226F">
              <w:rPr>
                <w:lang w:val="en-US"/>
              </w:rPr>
              <w:t>.</w:t>
            </w:r>
          </w:p>
          <w:p w:rsidR="004B1D68" w:rsidRPr="0045226F" w:rsidRDefault="00B94134" w:rsidP="00EF7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Minor </w:t>
            </w:r>
            <w:r w:rsidR="00EF7F9A">
              <w:rPr>
                <w:lang w:val="en-US"/>
              </w:rPr>
              <w:t>comments include</w:t>
            </w:r>
            <w:r>
              <w:rPr>
                <w:lang w:val="en-US"/>
              </w:rPr>
              <w:t xml:space="preserve">: </w:t>
            </w:r>
            <w:r w:rsidR="003D4768" w:rsidRPr="0045226F">
              <w:rPr>
                <w:lang w:val="en-US"/>
              </w:rPr>
              <w:t xml:space="preserve">The goals of the thesis could have been </w:t>
            </w:r>
            <w:r w:rsidR="0045226F">
              <w:rPr>
                <w:lang w:val="en-US"/>
              </w:rPr>
              <w:t>stated more precisely</w:t>
            </w:r>
            <w:r w:rsidR="003D4768" w:rsidRPr="0045226F">
              <w:rPr>
                <w:lang w:val="en-US"/>
              </w:rPr>
              <w:t xml:space="preserve"> in terms of the main focus on creating suggestions for NFTs’ use. Also, a cost-benefit analysis for each team could have been included to form a more useful basis for a</w:t>
            </w:r>
            <w:r w:rsidR="0045226F">
              <w:rPr>
                <w:lang w:val="en-US"/>
              </w:rPr>
              <w:t xml:space="preserve"> working</w:t>
            </w:r>
            <w:r w:rsidR="003D4768" w:rsidRPr="0045226F">
              <w:rPr>
                <w:lang w:val="en-US"/>
              </w:rPr>
              <w:t xml:space="preserve"> marketing strategy.</w:t>
            </w:r>
          </w:p>
        </w:tc>
      </w:tr>
      <w:tr w:rsidR="004B1D68" w:rsidRPr="0045226F">
        <w:tc>
          <w:tcPr>
            <w:tcW w:w="9828" w:type="dxa"/>
            <w:gridSpan w:val="9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Otázky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k 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obhajobě</w:t>
            </w:r>
            <w:proofErr w:type="spellEnd"/>
            <w:r w:rsidRPr="0045226F">
              <w:rPr>
                <w:b/>
                <w:color w:val="000000"/>
                <w:lang w:val="en-US"/>
              </w:rPr>
              <w:t>:</w:t>
            </w:r>
          </w:p>
          <w:p w:rsidR="004B1D68" w:rsidRPr="0045226F" w:rsidRDefault="003D47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45226F">
              <w:rPr>
                <w:lang w:val="en-US"/>
              </w:rPr>
              <w:t xml:space="preserve">What would be the ultimate benefit of these NFTs for the clubs? </w:t>
            </w:r>
          </w:p>
          <w:p w:rsidR="004B1D68" w:rsidRPr="0045226F" w:rsidRDefault="003D4768" w:rsidP="00432D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45226F">
              <w:rPr>
                <w:lang w:val="en-US"/>
              </w:rPr>
              <w:t xml:space="preserve">Would the clubs be interested in implementing NFTs in the manner </w:t>
            </w:r>
            <w:r w:rsidR="00432D23">
              <w:rPr>
                <w:lang w:val="en-US"/>
              </w:rPr>
              <w:t>you propose</w:t>
            </w:r>
            <w:r w:rsidRPr="0045226F">
              <w:rPr>
                <w:lang w:val="en-US"/>
              </w:rPr>
              <w:t>? How much would the suggested strategies cost?</w:t>
            </w:r>
          </w:p>
        </w:tc>
      </w:tr>
      <w:tr w:rsidR="004B1D68" w:rsidRPr="0045226F">
        <w:tc>
          <w:tcPr>
            <w:tcW w:w="9828" w:type="dxa"/>
            <w:gridSpan w:val="9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Práce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byla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zkontrolována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systémem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pro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odhalování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plagiátů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Theses s 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výsledkem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negativním</w:t>
            </w:r>
            <w:proofErr w:type="spellEnd"/>
            <w:r w:rsidRPr="0045226F">
              <w:rPr>
                <w:b/>
                <w:color w:val="000000"/>
                <w:lang w:val="en-US"/>
              </w:rPr>
              <w:t>/</w:t>
            </w:r>
            <w:proofErr w:type="spellStart"/>
            <w:r w:rsidRPr="00740B83">
              <w:rPr>
                <w:b/>
                <w:strike/>
                <w:color w:val="000000"/>
                <w:lang w:val="en-US"/>
              </w:rPr>
              <w:t>pozitivním</w:t>
            </w:r>
            <w:proofErr w:type="spellEnd"/>
            <w:r w:rsidRPr="0045226F">
              <w:rPr>
                <w:b/>
                <w:color w:val="000000"/>
                <w:lang w:val="en-US"/>
              </w:rPr>
              <w:t>. *</w:t>
            </w:r>
          </w:p>
        </w:tc>
      </w:tr>
      <w:tr w:rsidR="004B1D68" w:rsidRPr="0045226F">
        <w:tc>
          <w:tcPr>
            <w:tcW w:w="6791" w:type="dxa"/>
            <w:gridSpan w:val="3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b/>
                <w:color w:val="000000"/>
                <w:lang w:val="en-US"/>
              </w:rPr>
              <w:t>Celkové</w:t>
            </w:r>
            <w:proofErr w:type="spellEnd"/>
            <w:r w:rsidRPr="0045226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226F">
              <w:rPr>
                <w:b/>
                <w:color w:val="000000"/>
                <w:lang w:val="en-US"/>
              </w:rPr>
              <w:t>hodnocení</w:t>
            </w:r>
            <w:proofErr w:type="spellEnd"/>
            <w:r w:rsidRPr="0045226F">
              <w:rPr>
                <w:b/>
                <w:color w:val="000000"/>
                <w:vertAlign w:val="superscript"/>
                <w:lang w:val="en-US"/>
              </w:rPr>
              <w:footnoteReference w:id="1"/>
            </w:r>
            <w:r w:rsidRPr="0045226F">
              <w:rPr>
                <w:b/>
                <w:color w:val="000000"/>
                <w:lang w:val="en-US"/>
              </w:rPr>
              <w:t>*</w:t>
            </w:r>
            <w:r w:rsidRPr="0045226F">
              <w:rPr>
                <w:b/>
                <w:color w:val="000000"/>
                <w:vertAlign w:val="superscript"/>
                <w:lang w:val="en-US"/>
              </w:rPr>
              <w:footnoteReference w:id="2"/>
            </w:r>
            <w:r w:rsidRPr="0045226F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507" w:type="dxa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45226F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7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5" w:type="dxa"/>
          </w:tcPr>
          <w:p w:rsidR="004B1D68" w:rsidRPr="0045226F" w:rsidRDefault="004B1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  <w:tr w:rsidR="004B1D68" w:rsidRPr="0045226F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45226F">
              <w:rPr>
                <w:color w:val="000000"/>
                <w:lang w:val="en-US"/>
              </w:rPr>
              <w:t>Datum:</w:t>
            </w:r>
            <w:r w:rsidR="00C906AA">
              <w:rPr>
                <w:color w:val="000000"/>
                <w:lang w:val="en-US"/>
              </w:rPr>
              <w:t xml:space="preserve"> 26.05.2023</w:t>
            </w:r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4B1D68" w:rsidRPr="0045226F" w:rsidRDefault="003D4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45226F">
              <w:rPr>
                <w:color w:val="000000"/>
                <w:lang w:val="en-US"/>
              </w:rPr>
              <w:t>Podpis</w:t>
            </w:r>
            <w:proofErr w:type="spellEnd"/>
            <w:r w:rsidRPr="0045226F">
              <w:rPr>
                <w:color w:val="000000"/>
                <w:lang w:val="en-US"/>
              </w:rPr>
              <w:t>:</w:t>
            </w:r>
          </w:p>
        </w:tc>
      </w:tr>
    </w:tbl>
    <w:p w:rsidR="004B1D68" w:rsidRPr="0045226F" w:rsidRDefault="004B1D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sectPr w:rsidR="004B1D68" w:rsidRPr="0045226F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6D" w:rsidRDefault="00452D6D">
      <w:pPr>
        <w:spacing w:line="240" w:lineRule="auto"/>
        <w:ind w:left="0" w:hanging="2"/>
      </w:pPr>
      <w:r>
        <w:separator/>
      </w:r>
    </w:p>
  </w:endnote>
  <w:endnote w:type="continuationSeparator" w:id="0">
    <w:p w:rsidR="00452D6D" w:rsidRDefault="00452D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6D" w:rsidRDefault="00452D6D">
      <w:pPr>
        <w:spacing w:line="240" w:lineRule="auto"/>
        <w:ind w:left="0" w:hanging="2"/>
      </w:pPr>
      <w:r>
        <w:separator/>
      </w:r>
    </w:p>
  </w:footnote>
  <w:footnote w:type="continuationSeparator" w:id="0">
    <w:p w:rsidR="00452D6D" w:rsidRDefault="00452D6D">
      <w:pPr>
        <w:spacing w:line="240" w:lineRule="auto"/>
        <w:ind w:left="0" w:hanging="2"/>
      </w:pPr>
      <w:r>
        <w:continuationSeparator/>
      </w:r>
    </w:p>
  </w:footnote>
  <w:footnote w:id="1">
    <w:p w:rsidR="004B1D68" w:rsidRDefault="003D4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4B1D68" w:rsidRDefault="003D47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D11E1"/>
    <w:multiLevelType w:val="multilevel"/>
    <w:tmpl w:val="4E30EF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68"/>
    <w:rsid w:val="002A22FF"/>
    <w:rsid w:val="003827B9"/>
    <w:rsid w:val="003D4768"/>
    <w:rsid w:val="00432D23"/>
    <w:rsid w:val="0045226F"/>
    <w:rsid w:val="00452D6D"/>
    <w:rsid w:val="00456FFE"/>
    <w:rsid w:val="004B1D68"/>
    <w:rsid w:val="005031D5"/>
    <w:rsid w:val="00504FF4"/>
    <w:rsid w:val="00731DFE"/>
    <w:rsid w:val="00740B83"/>
    <w:rsid w:val="00B94134"/>
    <w:rsid w:val="00C906AA"/>
    <w:rsid w:val="00EF569B"/>
    <w:rsid w:val="00EF7F9A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5ED81-1AD9-4C2B-B89C-A8F25CE5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K4xElwaZtDSqgwzXtEcIbBUYw==">CgMxLjA4AHIhMWZvMHIyZGY0YjVSQ1pla0FmbW0yQUNsWTBzNG9pNjNn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cp:lastPrinted>2023-05-26T12:37:00Z</cp:lastPrinted>
  <dcterms:created xsi:type="dcterms:W3CDTF">2023-05-26T13:29:00Z</dcterms:created>
  <dcterms:modified xsi:type="dcterms:W3CDTF">2023-05-26T13:29:00Z</dcterms:modified>
</cp:coreProperties>
</file>