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8726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96967">
        <w:rPr>
          <w:rFonts w:asciiTheme="minorHAnsi" w:hAnsiTheme="minorHAnsi" w:cstheme="minorHAnsi"/>
          <w:sz w:val="22"/>
          <w:szCs w:val="22"/>
        </w:rPr>
        <w:t>Bc. Adam Ondriaš</w:t>
      </w:r>
    </w:p>
    <w:p w14:paraId="00D6BB86" w14:textId="75B85B3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096967">
        <w:rPr>
          <w:rFonts w:asciiTheme="minorHAnsi" w:hAnsiTheme="minorHAnsi" w:cstheme="minorHAnsi"/>
          <w:sz w:val="22"/>
          <w:szCs w:val="22"/>
        </w:rPr>
        <w:t>)</w:t>
      </w:r>
      <w:r w:rsidR="00096967" w:rsidRPr="009C322A">
        <w:rPr>
          <w:rFonts w:asciiTheme="minorHAnsi" w:hAnsiTheme="minorHAnsi" w:cstheme="minorHAnsi"/>
          <w:sz w:val="22"/>
          <w:szCs w:val="22"/>
        </w:rPr>
        <w:t>:</w:t>
      </w:r>
      <w:r w:rsidR="00096967">
        <w:rPr>
          <w:rFonts w:asciiTheme="minorHAnsi" w:hAnsiTheme="minorHAnsi" w:cstheme="minorHAnsi"/>
          <w:sz w:val="22"/>
          <w:szCs w:val="22"/>
        </w:rPr>
        <w:t xml:space="preserve"> Ing. Lubor Homolka, Ph.D.</w:t>
      </w:r>
    </w:p>
    <w:p w14:paraId="09E4DE65" w14:textId="6E4022E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96967" w:rsidRPr="00096967">
        <w:rPr>
          <w:rFonts w:cstheme="minorHAnsi"/>
        </w:rPr>
        <w:t>Kryptoaktiva a jejich budoucnost jako alternativy ke konvenčním penězům</w:t>
      </w:r>
    </w:p>
    <w:p w14:paraId="35028D0F" w14:textId="483D19A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9696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7FCA73" w:rsidR="000E094A" w:rsidRDefault="00A549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570373" w14:textId="6C01ACDA" w:rsidR="00702B3C" w:rsidRPr="000E094A" w:rsidRDefault="004342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se věnuje problematice budoucnosti kryptoměn</w:t>
            </w:r>
            <w:r w:rsidR="00702B3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jakožto alternativy k </w:t>
            </w:r>
            <w:r w:rsidR="007303BC">
              <w:rPr>
                <w:rFonts w:cstheme="minorHAnsi"/>
              </w:rPr>
              <w:t>Fiat</w:t>
            </w:r>
            <w:r>
              <w:rPr>
                <w:rFonts w:cstheme="minorHAnsi"/>
              </w:rPr>
              <w:t xml:space="preserve"> měnám. </w:t>
            </w:r>
            <w:r w:rsidR="00702B3C">
              <w:rPr>
                <w:rFonts w:cstheme="minorHAnsi"/>
              </w:rPr>
              <w:t>Metody zpracování práce jsou uvedeny pouze stručně (literární rešerše), metoda stanovení volatility je uvedena v praktické části, nikoliv v teoretické (část 5.7). Volba metod je adekvátní vytčenému cíli.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192B53" w:rsidR="000E094A" w:rsidRDefault="009530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B04E9BB" w:rsidR="000E094A" w:rsidRPr="000E094A" w:rsidRDefault="00A549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logicky organizována a je postavena na široké zdrojové bázi. Oceňuji velký počet zahraničních zdrojů. Teoretická část práce se věnuje jak kryptoměnám (coin), tak tokenům (zejména stablecoinům). Zmiňuje důležité pojmy a koncepty, jako DeFi, CeFi, tradiční </w:t>
            </w:r>
            <w:r w:rsidR="007303BC">
              <w:rPr>
                <w:rFonts w:cstheme="minorHAnsi"/>
              </w:rPr>
              <w:t>Fiat</w:t>
            </w:r>
            <w:r>
              <w:rPr>
                <w:rFonts w:cstheme="minorHAnsi"/>
              </w:rPr>
              <w:t xml:space="preserve"> měny, metody </w:t>
            </w:r>
            <w:r w:rsidR="00EB31CD">
              <w:rPr>
                <w:rFonts w:cstheme="minorHAnsi"/>
              </w:rPr>
              <w:t>konsenzu</w:t>
            </w:r>
            <w:r>
              <w:rPr>
                <w:rFonts w:cstheme="minorHAnsi"/>
              </w:rPr>
              <w:t xml:space="preserve"> apod. Některé části v teoretické části </w:t>
            </w:r>
            <w:r w:rsidR="006D31CD">
              <w:rPr>
                <w:rFonts w:cstheme="minorHAnsi"/>
              </w:rPr>
              <w:t>se nezdají být zcela relevantní pro analytickou a výzkumnou část, jako např. část 3.4 věnující se Hash funkcím, případně část 3.7 popisující kryptopeněženky.</w:t>
            </w:r>
            <w:r w:rsidR="009530B2">
              <w:rPr>
                <w:rFonts w:cstheme="minorHAnsi"/>
              </w:rPr>
              <w:t xml:space="preserve"> Naopak, koncept CBDC je vysvětlen až ve výzkumné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305BA9" w:rsidR="000E094A" w:rsidRDefault="009530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35CF738" w:rsidR="000E094A" w:rsidRPr="000E094A" w:rsidRDefault="00EB31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se věnuje vývoji zvolených aktiv a stanovení míry volatility. Ačkoli je zřejmé, jakým způsobem byla stanovena směrodatná odchylka, způsob stanovení volatility, potažmo volatility v % v tabulce 3, není jasné.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0C86A5" w:rsidR="000E094A" w:rsidRDefault="009530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8ABDDAC" w:rsidR="000E094A" w:rsidRDefault="00EB31CD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Část 7 se dle názvu věnuje vztahu kryptoaktiv a </w:t>
            </w:r>
            <w:r w:rsidR="007303BC">
              <w:rPr>
                <w:rFonts w:cstheme="minorHAnsi"/>
              </w:rPr>
              <w:t>Fiat</w:t>
            </w:r>
            <w:r>
              <w:rPr>
                <w:rFonts w:cstheme="minorHAnsi"/>
              </w:rPr>
              <w:t xml:space="preserve"> peněz. </w:t>
            </w:r>
            <w:r w:rsidR="007303BC">
              <w:rPr>
                <w:rFonts w:cstheme="minorHAnsi"/>
              </w:rPr>
              <w:t xml:space="preserve">Diskuze je ale provedena na základě srovnání Fiat – DeFI – CeFI, což jsou neporovnatelné koncepty. DeFI je systém decentralizovaných financí, nikoli aktivum, které je možné posuzovat z pohledu uchovatele hodnoty, směny a zúčtovací jednotky. Například Binance stable coin je produkt CeFI a zcela určitě není </w:t>
            </w:r>
            <w:r w:rsidR="00A469A2">
              <w:rPr>
                <w:rFonts w:cstheme="minorHAnsi"/>
              </w:rPr>
              <w:t>vysoko volatilní, jak je uvedeno v tabulce 6.</w:t>
            </w:r>
          </w:p>
          <w:p w14:paraId="5E22AB18" w14:textId="77777777" w:rsidR="00A469A2" w:rsidRPr="000E094A" w:rsidRDefault="00A469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832E90" w:rsidR="000E094A" w:rsidRDefault="00A469A2" w:rsidP="00A469A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Některé výroky jsou značně kontroverzní. Např.: „</w:t>
            </w:r>
            <w:r w:rsidRPr="00A469A2">
              <w:rPr>
                <w:rFonts w:cstheme="minorHAnsi"/>
              </w:rPr>
              <w:t>Kryptoaktíva sa vo</w:t>
            </w:r>
            <w:r>
              <w:rPr>
                <w:rFonts w:cstheme="minorHAnsi"/>
              </w:rPr>
              <w:t xml:space="preserve"> </w:t>
            </w:r>
            <w:r w:rsidRPr="00A469A2">
              <w:rPr>
                <w:rFonts w:cstheme="minorHAnsi"/>
              </w:rPr>
              <w:t>všeobecnosti považujú za vysokorizikové investície s potenciálne veľkým výnosom. Za ich</w:t>
            </w:r>
            <w:r>
              <w:rPr>
                <w:rFonts w:cstheme="minorHAnsi"/>
              </w:rPr>
              <w:t xml:space="preserve"> </w:t>
            </w:r>
            <w:r w:rsidRPr="00A469A2">
              <w:rPr>
                <w:rFonts w:cstheme="minorHAnsi"/>
              </w:rPr>
              <w:t>vysokú rizikovosť opäť môže ich vysoká volatilita.</w:t>
            </w:r>
            <w:r>
              <w:rPr>
                <w:rFonts w:cstheme="minorHAnsi"/>
              </w:rPr>
              <w:t xml:space="preserve">“ Volatilita je indikátorem </w:t>
            </w:r>
            <w:r w:rsidR="009530B2">
              <w:rPr>
                <w:rFonts w:cstheme="minorHAnsi"/>
              </w:rPr>
              <w:t>rizikovosti,</w:t>
            </w:r>
            <w:r>
              <w:rPr>
                <w:rFonts w:cstheme="minorHAnsi"/>
              </w:rPr>
              <w:t xml:space="preserve"> a právě kolísání hodnot je </w:t>
            </w:r>
            <w:r w:rsidR="00FF73C0">
              <w:rPr>
                <w:rFonts w:cstheme="minorHAnsi"/>
              </w:rPr>
              <w:t xml:space="preserve">ono </w:t>
            </w:r>
            <w:r>
              <w:rPr>
                <w:rFonts w:cstheme="minorHAnsi"/>
              </w:rPr>
              <w:t>riziko. Volatilita tedy nemůže za rizikovost (stejně jako ROE nemůže za výkonnost firmy).</w:t>
            </w:r>
          </w:p>
          <w:p w14:paraId="69972017" w14:textId="149A53E5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3F7EF17" w:rsidR="000E094A" w:rsidRPr="000E094A" w:rsidRDefault="009530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Komentáře k problematice podložené relevantními zdroji jsou silnou stránkou diplomové práce. Závěr diplomové práce je formulován srozumitelně a z mého pohledu naplňuje cíl práce.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401BE7" w:rsidR="000E094A" w:rsidRDefault="008535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FB2753" w14:textId="77777777" w:rsidR="000E094A" w:rsidRDefault="008535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logicky strukturována, některé části by ale z mého pohledu měly být spíše v teoretické části. Terminologie užívaná v práci je vysvětlena odpovídajícím způsobem. Diplomová práce je na dostatečné jazykové a grafické úrovni. </w:t>
            </w:r>
          </w:p>
          <w:p w14:paraId="1CBFD397" w14:textId="531A8F60" w:rsidR="00853579" w:rsidRPr="000E094A" w:rsidRDefault="008535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5354BE" w:rsidR="009C7318" w:rsidRDefault="00FA0F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2A94BBD0" w:rsidR="00D6308A" w:rsidRPr="000E094A" w:rsidRDefault="008535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se věnuje aktuálnímu tématu, jehož zpracování vyžaduje znalosti ekonomie, financí a finančních technologií. Cíl práce byl z mého pohledu splněn.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BAE4FAD" w:rsidR="009C7318" w:rsidRDefault="009530B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záměr srovnání Fiat, DeFI a CeFI v části 7.</w:t>
      </w:r>
    </w:p>
    <w:p w14:paraId="55DA52BC" w14:textId="16CA1B50" w:rsidR="005C4ACA" w:rsidRPr="00853579" w:rsidRDefault="00853579" w:rsidP="0085357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853579">
        <w:rPr>
          <w:rFonts w:cstheme="minorHAnsi"/>
        </w:rPr>
        <w:t>Mohl byste vysvětlit následující tvrzení: „Myslím si však, že prepojenie kryptoaktív a fiat mien čoskoro prinesú digitálne meny</w:t>
      </w:r>
      <w:r>
        <w:rPr>
          <w:rFonts w:cstheme="minorHAnsi"/>
        </w:rPr>
        <w:t xml:space="preserve"> </w:t>
      </w:r>
      <w:r w:rsidRPr="00853579">
        <w:rPr>
          <w:rFonts w:cstheme="minorHAnsi"/>
        </w:rPr>
        <w:t>centrálnych bánk.“</w:t>
      </w:r>
      <w:r>
        <w:rPr>
          <w:rFonts w:cstheme="minorHAnsi"/>
        </w:rPr>
        <w:t xml:space="preserve"> Znamená to, že CBDC je hybrid mezi Fiat a kryptoaktivem?</w:t>
      </w:r>
    </w:p>
    <w:p w14:paraId="3128B4D1" w14:textId="77777777" w:rsidR="0085398A" w:rsidRPr="00853579" w:rsidRDefault="0085398A" w:rsidP="00853579">
      <w:pPr>
        <w:spacing w:after="120" w:line="240" w:lineRule="auto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336D8C52" w14:textId="63E66608" w:rsidR="0024258E" w:rsidRPr="00853579" w:rsidRDefault="009C7318" w:rsidP="00853579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696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696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C4CE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6967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B77C" w14:textId="77777777" w:rsidR="001D7C57" w:rsidRDefault="001D7C57" w:rsidP="00A40E93">
      <w:pPr>
        <w:spacing w:after="0" w:line="240" w:lineRule="auto"/>
      </w:pPr>
      <w:r>
        <w:separator/>
      </w:r>
    </w:p>
  </w:endnote>
  <w:endnote w:type="continuationSeparator" w:id="0">
    <w:p w14:paraId="4CAB59EA" w14:textId="77777777" w:rsidR="001D7C57" w:rsidRDefault="001D7C5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02D06" w14:textId="77777777" w:rsidR="001D7C57" w:rsidRDefault="001D7C57" w:rsidP="00A40E93">
      <w:pPr>
        <w:spacing w:after="0" w:line="240" w:lineRule="auto"/>
      </w:pPr>
      <w:r>
        <w:separator/>
      </w:r>
    </w:p>
  </w:footnote>
  <w:footnote w:type="continuationSeparator" w:id="0">
    <w:p w14:paraId="6BBA9800" w14:textId="77777777" w:rsidR="001D7C57" w:rsidRDefault="001D7C5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CwMDQyNDA3NDAzMzZR0lEKTi0uzszPAykwrAUAGI7+gywAAAA="/>
  </w:docVars>
  <w:rsids>
    <w:rsidRoot w:val="00BA16DD"/>
    <w:rsid w:val="00096967"/>
    <w:rsid w:val="000C0458"/>
    <w:rsid w:val="000E094A"/>
    <w:rsid w:val="00144F5B"/>
    <w:rsid w:val="001D7C57"/>
    <w:rsid w:val="0024258E"/>
    <w:rsid w:val="0029651C"/>
    <w:rsid w:val="002C5ED6"/>
    <w:rsid w:val="004342B8"/>
    <w:rsid w:val="004D378C"/>
    <w:rsid w:val="005C4ACA"/>
    <w:rsid w:val="0067082B"/>
    <w:rsid w:val="00694399"/>
    <w:rsid w:val="006D31CD"/>
    <w:rsid w:val="00702B3C"/>
    <w:rsid w:val="007303BC"/>
    <w:rsid w:val="0073639B"/>
    <w:rsid w:val="007539AC"/>
    <w:rsid w:val="007553A6"/>
    <w:rsid w:val="007E17F3"/>
    <w:rsid w:val="00853579"/>
    <w:rsid w:val="0085398A"/>
    <w:rsid w:val="008B781B"/>
    <w:rsid w:val="008E2072"/>
    <w:rsid w:val="009530B2"/>
    <w:rsid w:val="00974EA2"/>
    <w:rsid w:val="00987B93"/>
    <w:rsid w:val="009C322A"/>
    <w:rsid w:val="009C7318"/>
    <w:rsid w:val="00A33528"/>
    <w:rsid w:val="00A40E93"/>
    <w:rsid w:val="00A469A2"/>
    <w:rsid w:val="00A54958"/>
    <w:rsid w:val="00A7527E"/>
    <w:rsid w:val="00B14451"/>
    <w:rsid w:val="00BA16DD"/>
    <w:rsid w:val="00CA34A9"/>
    <w:rsid w:val="00CD12C3"/>
    <w:rsid w:val="00D6308A"/>
    <w:rsid w:val="00DC7D52"/>
    <w:rsid w:val="00E22423"/>
    <w:rsid w:val="00EB31CD"/>
    <w:rsid w:val="00EF1720"/>
    <w:rsid w:val="00FA0F71"/>
    <w:rsid w:val="00FC2852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4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2023-05-23T16:14:00Z</dcterms:created>
  <dcterms:modified xsi:type="dcterms:W3CDTF">2023-05-23T16:14:00Z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