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01" w:rsidRDefault="00423F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bookmarkStart w:id="0" w:name="_GoBack"/>
      <w:bookmarkEnd w:id="0"/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423F01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OPONENTA BAKALÁŘSKÉ PRÁCE</w:t>
            </w:r>
          </w:p>
        </w:tc>
      </w:tr>
      <w:tr w:rsidR="00423F01">
        <w:tc>
          <w:tcPr>
            <w:tcW w:w="2808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Klára Vlachová</w:t>
            </w:r>
          </w:p>
        </w:tc>
      </w:tr>
      <w:tr w:rsidR="00423F01">
        <w:tc>
          <w:tcPr>
            <w:tcW w:w="2808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Legacy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Winston Churchill</w:t>
            </w:r>
          </w:p>
        </w:tc>
      </w:tr>
      <w:tr w:rsidR="00423F01">
        <w:tc>
          <w:tcPr>
            <w:tcW w:w="2808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</w:t>
            </w:r>
          </w:p>
        </w:tc>
      </w:tr>
      <w:tr w:rsidR="00423F01">
        <w:tc>
          <w:tcPr>
            <w:tcW w:w="2808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423F01">
        <w:tc>
          <w:tcPr>
            <w:tcW w:w="2808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423F01">
        <w:tc>
          <w:tcPr>
            <w:tcW w:w="2808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423F01">
        <w:tc>
          <w:tcPr>
            <w:tcW w:w="9828" w:type="dxa"/>
            <w:gridSpan w:val="9"/>
            <w:shd w:val="clear" w:color="auto" w:fill="A6A6A6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9828" w:type="dxa"/>
            <w:gridSpan w:val="9"/>
            <w:shd w:val="clear" w:color="auto" w:fill="A6A6A6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23F01">
        <w:tc>
          <w:tcPr>
            <w:tcW w:w="9828" w:type="dxa"/>
            <w:gridSpan w:val="9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Autorka zvolila zajímavé a aktuální téma, přehodnocování odkazu historických osobností. Začíná analýzou rodinné situace Winstona Churchilla, která je ale vágní (např. str. 10: </w:t>
            </w:r>
            <w:r>
              <w:t>“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(</w:t>
            </w:r>
            <w:proofErr w:type="spellStart"/>
            <w:r>
              <w:t>parents</w:t>
            </w:r>
            <w:proofErr w:type="spellEnd"/>
            <w:r>
              <w:t xml:space="preserve">) </w:t>
            </w:r>
            <w:proofErr w:type="spellStart"/>
            <w:r>
              <w:t>did</w:t>
            </w:r>
            <w:proofErr w:type="spellEnd"/>
            <w:r>
              <w:t xml:space="preserve"> not </w:t>
            </w:r>
            <w:proofErr w:type="spellStart"/>
            <w:r>
              <w:t>like</w:t>
            </w:r>
            <w:proofErr w:type="spellEnd"/>
            <w:r>
              <w:t xml:space="preserve"> his </w:t>
            </w:r>
            <w:proofErr w:type="spellStart"/>
            <w:r>
              <w:t>behaviour</w:t>
            </w:r>
            <w:proofErr w:type="spellEnd"/>
            <w:r>
              <w:t xml:space="preserve"> and </w:t>
            </w:r>
            <w:proofErr w:type="spellStart"/>
            <w:r>
              <w:t>couldn’t</w:t>
            </w:r>
            <w:proofErr w:type="spellEnd"/>
            <w:r>
              <w:t xml:space="preserve"> </w:t>
            </w:r>
            <w:proofErr w:type="spellStart"/>
            <w:r>
              <w:t>properly</w:t>
            </w:r>
            <w:proofErr w:type="spellEnd"/>
            <w:r>
              <w:t xml:space="preserve"> handle </w:t>
            </w:r>
            <w:proofErr w:type="spellStart"/>
            <w:r>
              <w:t>him</w:t>
            </w:r>
            <w:proofErr w:type="spellEnd"/>
            <w:r>
              <w:t xml:space="preserve">.”)  a udivuje zvláštním výběrem detailů, které autorka považuje za důležité zmínit  (dozvídáme se symboliku </w:t>
            </w:r>
            <w:proofErr w:type="spellStart"/>
            <w:r>
              <w:t>Churchillových</w:t>
            </w:r>
            <w:proofErr w:type="spellEnd"/>
            <w:r>
              <w:t xml:space="preserve"> křestních jmen, to, že </w:t>
            </w:r>
            <w:proofErr w:type="spellStart"/>
            <w:r>
              <w:t>Churchillova</w:t>
            </w:r>
            <w:proofErr w:type="spellEnd"/>
            <w:r>
              <w:t xml:space="preserve"> žena byla dru</w:t>
            </w:r>
            <w:r>
              <w:t xml:space="preserve">horozená dcera, že vztah rodičů </w:t>
            </w:r>
            <w:proofErr w:type="spellStart"/>
            <w:r>
              <w:t>Churchillovy</w:t>
            </w:r>
            <w:proofErr w:type="spellEnd"/>
            <w:r>
              <w:t xml:space="preserve"> ženy  “nebyl </w:t>
            </w:r>
            <w:proofErr w:type="spellStart"/>
            <w:r>
              <w:t>idealni</w:t>
            </w:r>
            <w:proofErr w:type="spellEnd"/>
            <w:r>
              <w:t xml:space="preserve">”, že její otec dítě nechtěl ale matka, Lady </w:t>
            </w:r>
            <w:proofErr w:type="spellStart"/>
            <w:r>
              <w:t>Blanche</w:t>
            </w:r>
            <w:proofErr w:type="spellEnd"/>
            <w:r>
              <w:t xml:space="preserve">, ano, a že lady </w:t>
            </w:r>
            <w:proofErr w:type="spellStart"/>
            <w:r>
              <w:t>Blanche</w:t>
            </w:r>
            <w:proofErr w:type="spellEnd"/>
            <w:r>
              <w:t xml:space="preserve"> - matka </w:t>
            </w:r>
            <w:proofErr w:type="spellStart"/>
            <w:r>
              <w:t>Churchillovy</w:t>
            </w:r>
            <w:proofErr w:type="spellEnd"/>
            <w:r>
              <w:t xml:space="preserve"> ženy byla záletné povahy atd.) Jelikož je bakalářská práce omezeného rozsahu, doporučovala by</w:t>
            </w:r>
            <w:r>
              <w:t>ch promyšlenější výběr.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Práce také obsahuje řadu nepodložených </w:t>
            </w:r>
            <w:proofErr w:type="gramStart"/>
            <w:r>
              <w:t>tvrzení ( např.</w:t>
            </w:r>
            <w:proofErr w:type="gramEnd"/>
            <w:r>
              <w:t xml:space="preserve"> str. 12 “Churchill </w:t>
            </w:r>
            <w:proofErr w:type="spellStart"/>
            <w:r>
              <w:t>was</w:t>
            </w:r>
            <w:proofErr w:type="spellEnd"/>
            <w:r>
              <w:t xml:space="preserve"> a person hard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long period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.” nebo str. 20 “</w:t>
            </w: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though</w:t>
            </w:r>
            <w:proofErr w:type="spellEnd"/>
            <w:r>
              <w:t xml:space="preserve"> Churchill </w:t>
            </w:r>
            <w:proofErr w:type="spellStart"/>
            <w:r>
              <w:t>was</w:t>
            </w:r>
            <w:proofErr w:type="spellEnd"/>
            <w:r>
              <w:t xml:space="preserve"> not </w:t>
            </w:r>
            <w:proofErr w:type="spellStart"/>
            <w:r>
              <w:t>liked</w:t>
            </w:r>
            <w:proofErr w:type="spellEnd"/>
            <w:r>
              <w:t xml:space="preserve"> by many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positions</w:t>
            </w:r>
            <w:proofErr w:type="spellEnd"/>
            <w:r>
              <w:t xml:space="preserve">, </w:t>
            </w:r>
            <w:proofErr w:type="spellStart"/>
            <w:r>
              <w:t>peopl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Britain</w:t>
            </w:r>
            <w:proofErr w:type="spellEnd"/>
            <w:r>
              <w:t xml:space="preserve"> </w:t>
            </w:r>
            <w:proofErr w:type="spellStart"/>
            <w:r>
              <w:t>gave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trust in </w:t>
            </w:r>
            <w:proofErr w:type="spellStart"/>
            <w:r>
              <w:t>war</w:t>
            </w:r>
            <w:proofErr w:type="spellEnd"/>
            <w:r>
              <w:t xml:space="preserve"> </w:t>
            </w:r>
            <w:proofErr w:type="spellStart"/>
            <w:r>
              <w:t>matters</w:t>
            </w:r>
            <w:proofErr w:type="spellEnd"/>
            <w:r>
              <w:t>.”)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Postrádám náhled na </w:t>
            </w:r>
            <w:proofErr w:type="spellStart"/>
            <w:r>
              <w:t>Churchillovu</w:t>
            </w:r>
            <w:proofErr w:type="spellEnd"/>
            <w:r>
              <w:t xml:space="preserve"> vnitřní motivaci, formování jeho osobnosti v průběhu let, účast v búrské válce, politické názory - </w:t>
            </w:r>
            <w:proofErr w:type="spellStart"/>
            <w:r>
              <w:t>treba</w:t>
            </w:r>
            <w:proofErr w:type="spellEnd"/>
            <w:r>
              <w:t xml:space="preserve"> vysvětlení jeho kandidatury za konzervativní stranu, a poté přecho</w:t>
            </w:r>
            <w:r>
              <w:t>d k liberální straně, proč byl označován jako “</w:t>
            </w:r>
            <w:proofErr w:type="spellStart"/>
            <w:r>
              <w:t>godfather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welfare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” atd.)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Kapitola 3 a 4 předkládá relativně dobré zpracování politického kontextu a tématu </w:t>
            </w:r>
            <w:proofErr w:type="spellStart"/>
            <w:r>
              <w:t>prezentismu</w:t>
            </w:r>
            <w:proofErr w:type="spellEnd"/>
            <w:r>
              <w:t xml:space="preserve">, ačkoli obsah podkapitoly 4.3 </w:t>
            </w: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Racism</w:t>
            </w:r>
            <w:proofErr w:type="spellEnd"/>
            <w:r>
              <w:t xml:space="preserve"> and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Supremacy</w:t>
            </w:r>
            <w:proofErr w:type="spellEnd"/>
            <w:r>
              <w:t xml:space="preserve"> moh</w:t>
            </w:r>
            <w:r>
              <w:t xml:space="preserve">l být zpracován postupně v předchozích částech práce. </w:t>
            </w:r>
          </w:p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Práci celkově hodnotím jako vcelku zdařilou a doporučuji ji k obhajobě.</w:t>
            </w:r>
          </w:p>
        </w:tc>
      </w:tr>
      <w:tr w:rsidR="00423F01">
        <w:tc>
          <w:tcPr>
            <w:tcW w:w="9828" w:type="dxa"/>
            <w:gridSpan w:val="9"/>
          </w:tcPr>
          <w:p w:rsidR="00423F01" w:rsidRDefault="00EE4CCC">
            <w:pPr>
              <w:ind w:left="0" w:hanging="2"/>
            </w:pPr>
            <w:r>
              <w:rPr>
                <w:b/>
              </w:rPr>
              <w:t>Otázky k obhajobě:</w:t>
            </w:r>
          </w:p>
          <w:p w:rsidR="00423F01" w:rsidRDefault="00EE4CCC">
            <w:pPr>
              <w:numPr>
                <w:ilvl w:val="0"/>
                <w:numId w:val="1"/>
              </w:numPr>
              <w:ind w:left="0" w:hanging="2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characterise</w:t>
            </w:r>
            <w:proofErr w:type="spellEnd"/>
            <w:r>
              <w:t xml:space="preserve"> Winston </w:t>
            </w:r>
            <w:proofErr w:type="spellStart"/>
            <w:r>
              <w:t>Churchill’s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evolution</w:t>
            </w:r>
            <w:proofErr w:type="spellEnd"/>
            <w:r>
              <w:t xml:space="preserve"> in </w:t>
            </w:r>
            <w:proofErr w:type="spellStart"/>
            <w:r>
              <w:t>time</w:t>
            </w:r>
            <w:proofErr w:type="spellEnd"/>
            <w:r>
              <w:t>?</w:t>
            </w:r>
          </w:p>
          <w:p w:rsidR="00423F01" w:rsidRDefault="00EE4CCC">
            <w:pPr>
              <w:numPr>
                <w:ilvl w:val="0"/>
                <w:numId w:val="1"/>
              </w:numPr>
              <w:ind w:left="0" w:hanging="2"/>
            </w:pPr>
            <w:proofErr w:type="spellStart"/>
            <w:r>
              <w:t>Why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Churchill </w:t>
            </w:r>
            <w:proofErr w:type="spellStart"/>
            <w:r>
              <w:t>called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godfather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welfare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”?</w:t>
            </w:r>
          </w:p>
          <w:p w:rsidR="00423F01" w:rsidRDefault="00423F01">
            <w:pPr>
              <w:ind w:left="0" w:hanging="2"/>
            </w:pPr>
          </w:p>
        </w:tc>
      </w:tr>
      <w:tr w:rsidR="00423F01">
        <w:tc>
          <w:tcPr>
            <w:tcW w:w="6791" w:type="dxa"/>
            <w:gridSpan w:val="3"/>
          </w:tcPr>
          <w:p w:rsidR="00423F01" w:rsidRDefault="00EE4CCC">
            <w:pPr>
              <w:ind w:left="0" w:hanging="2"/>
            </w:pPr>
            <w:r>
              <w:rPr>
                <w:b/>
              </w:rPr>
              <w:t>Celkové hodnocení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>*</w:t>
            </w:r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</w:rPr>
              <w:t>*</w:t>
            </w:r>
          </w:p>
        </w:tc>
        <w:tc>
          <w:tcPr>
            <w:tcW w:w="507" w:type="dxa"/>
          </w:tcPr>
          <w:p w:rsidR="00423F01" w:rsidRDefault="00EE4CCC">
            <w:pPr>
              <w:ind w:left="0" w:hanging="2"/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423F01" w:rsidRDefault="00EE4CCC">
            <w:pPr>
              <w:ind w:left="0" w:hanging="2"/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423F01" w:rsidRDefault="00EE4CC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7" w:type="dxa"/>
          </w:tcPr>
          <w:p w:rsidR="00423F01" w:rsidRDefault="00EE4CCC">
            <w:pPr>
              <w:ind w:left="0" w:hanging="2"/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423F01" w:rsidRDefault="00EE4CCC">
            <w:pPr>
              <w:ind w:left="0" w:hanging="2"/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423F01" w:rsidRDefault="00EE4CCC">
            <w:pPr>
              <w:ind w:left="0" w:hanging="2"/>
              <w:jc w:val="center"/>
            </w:pPr>
            <w:r>
              <w:t>F</w:t>
            </w:r>
          </w:p>
        </w:tc>
      </w:tr>
      <w:tr w:rsidR="00423F01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Datum: </w:t>
            </w:r>
            <w:proofErr w:type="gramStart"/>
            <w:r>
              <w:rPr>
                <w:color w:val="000000"/>
              </w:rPr>
              <w:t>26.5. 2023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423F01" w:rsidRDefault="00EE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423F01" w:rsidRDefault="00423F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23F01" w:rsidSect="00EE4CCC">
      <w:pgSz w:w="11906" w:h="16838"/>
      <w:pgMar w:top="1276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4CC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EE4C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4CC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EE4CCC">
      <w:pPr>
        <w:spacing w:line="240" w:lineRule="auto"/>
        <w:ind w:left="0" w:hanging="2"/>
      </w:pPr>
      <w:r>
        <w:continuationSeparator/>
      </w:r>
    </w:p>
  </w:footnote>
  <w:footnote w:id="1">
    <w:p w:rsidR="00423F01" w:rsidRDefault="00EE4CCC">
      <w:pPr>
        <w:ind w:left="0" w:hanging="2"/>
      </w:pPr>
      <w:r>
        <w:rPr>
          <w:vertAlign w:val="superscript"/>
        </w:rPr>
        <w:footnoteRef/>
      </w:r>
      <w:r>
        <w:t xml:space="preserve">*   Zvolte odpovídající hodnocení. Výsledek negativní znamená, že systém </w:t>
      </w:r>
      <w:proofErr w:type="spellStart"/>
      <w:r>
        <w:t>Theses</w:t>
      </w:r>
      <w:proofErr w:type="spellEnd"/>
      <w:r>
        <w:t xml:space="preserve"> nenašel shodu s jinými pracemi a hodnocená práce tedy není plagiát.</w:t>
      </w:r>
    </w:p>
  </w:footnote>
  <w:footnote w:id="2">
    <w:p w:rsidR="00423F01" w:rsidRDefault="00EE4CCC">
      <w:pPr>
        <w:ind w:left="0" w:hanging="2"/>
      </w:pPr>
      <w:r>
        <w:rPr>
          <w:vertAlign w:val="superscript"/>
        </w:rPr>
        <w:footnoteRef/>
      </w:r>
      <w: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B062B"/>
    <w:multiLevelType w:val="multilevel"/>
    <w:tmpl w:val="989652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01"/>
    <w:rsid w:val="00423F01"/>
    <w:rsid w:val="00E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097B3-26A9-49C1-B1A9-22B00EF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tMTXHhZNBBWelGIwO1+JmnJgA==">CgMxLjA4AHIhMXJHeUZPNWpjdWZYdUJHNDk5OXNrSzZVRWR3UVRVMnRa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2023-06-01T10:06:00Z</dcterms:created>
  <dcterms:modified xsi:type="dcterms:W3CDTF">2023-06-01T10:06:00Z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4d31fbd10e1ed1922521fdd0223290b13fa8e32d48c686aaa61b5fe4fe1edb18</vt:lpwstr>
  </property>
</Properties>
</file>