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591A0C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F972DC">
        <w:rPr>
          <w:rFonts w:asciiTheme="minorHAnsi" w:hAnsiTheme="minorHAnsi" w:cstheme="minorHAnsi"/>
          <w:sz w:val="22"/>
          <w:szCs w:val="22"/>
        </w:rPr>
        <w:tab/>
      </w:r>
      <w:r w:rsidR="00F972DC">
        <w:rPr>
          <w:rFonts w:asciiTheme="minorHAnsi" w:hAnsiTheme="minorHAnsi" w:cstheme="minorHAnsi"/>
          <w:sz w:val="22"/>
          <w:szCs w:val="22"/>
        </w:rPr>
        <w:tab/>
      </w:r>
      <w:r w:rsidR="00F972DC">
        <w:rPr>
          <w:rFonts w:asciiTheme="minorHAnsi" w:hAnsiTheme="minorHAnsi" w:cstheme="minorHAnsi"/>
          <w:sz w:val="22"/>
          <w:szCs w:val="22"/>
        </w:rPr>
        <w:tab/>
        <w:t xml:space="preserve">Markéta </w:t>
      </w:r>
      <w:r w:rsidR="00F972DC" w:rsidRPr="00AF3343">
        <w:rPr>
          <w:rFonts w:asciiTheme="minorHAnsi" w:hAnsiTheme="minorHAnsi" w:cstheme="minorHAnsi"/>
          <w:smallCaps/>
          <w:sz w:val="22"/>
          <w:szCs w:val="22"/>
        </w:rPr>
        <w:t>Bokůvková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3E68F5F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972DC">
        <w:rPr>
          <w:rFonts w:asciiTheme="minorHAnsi" w:hAnsiTheme="minorHAnsi" w:cstheme="minorHAnsi"/>
          <w:sz w:val="22"/>
          <w:szCs w:val="22"/>
        </w:rPr>
        <w:tab/>
      </w:r>
      <w:r w:rsidR="00F972D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972D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972D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972DC">
        <w:rPr>
          <w:rFonts w:asciiTheme="minorHAnsi" w:hAnsiTheme="minorHAnsi" w:cstheme="minorHAnsi"/>
          <w:sz w:val="22"/>
          <w:szCs w:val="22"/>
        </w:rPr>
        <w:t xml:space="preserve">, Ph.D.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6437D3A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="000C0B3F">
        <w:rPr>
          <w:rFonts w:cstheme="minorHAnsi"/>
        </w:rPr>
        <w:t xml:space="preserve">: </w:t>
      </w:r>
      <w:r w:rsidR="00F972DC" w:rsidRPr="00AF3343">
        <w:rPr>
          <w:rFonts w:cstheme="minorHAnsi"/>
        </w:rPr>
        <w:t>Analýza konkurenceschopnosti v Lázních Slatinice</w:t>
      </w:r>
      <w:r>
        <w:rPr>
          <w:rFonts w:cstheme="minorHAnsi"/>
        </w:rPr>
        <w:t xml:space="preserve"> </w:t>
      </w:r>
    </w:p>
    <w:p w14:paraId="07FD52EA" w14:textId="5805CEC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72D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C0B3F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945371" w:rsidR="000E094A" w:rsidRDefault="00827A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3B55CA" w14:textId="02E867C4" w:rsidR="00827AF2" w:rsidRPr="000E094A" w:rsidRDefault="00827AF2" w:rsidP="00827A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>BP</w:t>
            </w:r>
            <w:r>
              <w:rPr>
                <w:rFonts w:cstheme="minorHAnsi"/>
              </w:rPr>
              <w:t xml:space="preserve"> nejsou formulovány </w:t>
            </w:r>
            <w:r>
              <w:rPr>
                <w:rFonts w:cstheme="minorHAnsi"/>
              </w:rPr>
              <w:t>zcela</w:t>
            </w:r>
            <w:r>
              <w:rPr>
                <w:rFonts w:cstheme="minorHAnsi"/>
              </w:rPr>
              <w:t xml:space="preserve"> přesně v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kontextu tématu BP. Aplikované výzkumné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metody a techniky vedoucí k naplnění </w:t>
            </w:r>
            <w:r>
              <w:rPr>
                <w:rFonts w:cstheme="minorHAnsi"/>
              </w:rPr>
              <w:t xml:space="preserve">definovaných </w:t>
            </w:r>
            <w:r>
              <w:rPr>
                <w:rFonts w:cstheme="minorHAnsi"/>
              </w:rPr>
              <w:t xml:space="preserve">cílů </w:t>
            </w:r>
            <w:r>
              <w:rPr>
                <w:rFonts w:cstheme="minorHAnsi"/>
              </w:rPr>
              <w:t xml:space="preserve">BP </w:t>
            </w:r>
            <w:r>
              <w:rPr>
                <w:rFonts w:cstheme="minorHAnsi"/>
              </w:rPr>
              <w:t>mohly být realizovány</w:t>
            </w:r>
            <w:r>
              <w:rPr>
                <w:rFonts w:cstheme="minorHAnsi"/>
              </w:rPr>
              <w:t xml:space="preserve"> pečlivěji</w:t>
            </w:r>
            <w:r>
              <w:rPr>
                <w:rFonts w:cstheme="minorHAnsi"/>
              </w:rPr>
              <w:t>. Celá BP mohla být zpracována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konkrétněji.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481E52" w:rsidR="000E094A" w:rsidRDefault="008C0D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073FF7" w14:textId="6DF0A2A7" w:rsidR="008C0DB8" w:rsidRPr="000E094A" w:rsidRDefault="008C0DB8" w:rsidP="008C0D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B910B9">
              <w:rPr>
                <w:rFonts w:cstheme="minorHAnsi"/>
              </w:rPr>
              <w:t>bakalářské prác</w:t>
            </w:r>
            <w:r w:rsidR="00B910B9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 xml:space="preserve">začíná představením problematiky lázeňství (od strany 12 do strany </w:t>
            </w:r>
            <w:r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) a poté </w:t>
            </w:r>
            <w:r>
              <w:rPr>
                <w:rFonts w:cstheme="minorHAnsi"/>
              </w:rPr>
              <w:t xml:space="preserve">opět </w:t>
            </w:r>
            <w:r>
              <w:rPr>
                <w:rFonts w:cstheme="minorHAnsi"/>
              </w:rPr>
              <w:t xml:space="preserve">velmi stručně prezentuje oblast konkurenceschopnosti. Tato část BP je tak </w:t>
            </w:r>
            <w:r>
              <w:rPr>
                <w:rFonts w:cstheme="minorHAnsi"/>
              </w:rPr>
              <w:t xml:space="preserve">opět </w:t>
            </w:r>
            <w:r>
              <w:rPr>
                <w:rFonts w:cstheme="minorHAnsi"/>
              </w:rPr>
              <w:t>tematicky i odborně nevyvážená, a</w:t>
            </w:r>
            <w:r w:rsidR="00B910B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to i v kontextu o</w:t>
            </w:r>
            <w:r w:rsidRPr="00657F95">
              <w:rPr>
                <w:rFonts w:cstheme="minorHAnsi"/>
              </w:rPr>
              <w:t>ficiálních Zásad pro vypracování</w:t>
            </w:r>
            <w:r>
              <w:rPr>
                <w:rFonts w:cstheme="minorHAnsi"/>
              </w:rPr>
              <w:t xml:space="preserve"> BP. Teoretická východiska tak </w:t>
            </w:r>
            <w:r w:rsidR="00A70A5E">
              <w:rPr>
                <w:rFonts w:cstheme="minorHAnsi"/>
              </w:rPr>
              <w:t xml:space="preserve">opět </w:t>
            </w:r>
            <w:r>
              <w:rPr>
                <w:rFonts w:cstheme="minorHAnsi"/>
              </w:rPr>
              <w:t xml:space="preserve">postrádají elementární </w:t>
            </w:r>
            <w:r w:rsidR="00A70A5E">
              <w:rPr>
                <w:rFonts w:cstheme="minorHAnsi"/>
              </w:rPr>
              <w:t>skutečnosti</w:t>
            </w:r>
            <w:r>
              <w:rPr>
                <w:rFonts w:cstheme="minorHAnsi"/>
              </w:rPr>
              <w:t xml:space="preserve"> o</w:t>
            </w:r>
            <w:r w:rsidR="00A70A5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zkoumané</w:t>
            </w:r>
            <w:r>
              <w:rPr>
                <w:rFonts w:cstheme="minorHAnsi"/>
              </w:rPr>
              <w:t> </w:t>
            </w:r>
            <w:r w:rsidR="00A70A5E">
              <w:rPr>
                <w:rFonts w:cstheme="minorHAnsi"/>
              </w:rPr>
              <w:t>problematice</w:t>
            </w:r>
            <w:r>
              <w:rPr>
                <w:rFonts w:cstheme="minorHAnsi"/>
              </w:rPr>
              <w:t>, například různé druhy konkurenčních strategií či jak lze realizovat monitoring a analýzu konkurence a</w:t>
            </w:r>
            <w:r w:rsidR="00A70A5E">
              <w:rPr>
                <w:rFonts w:cstheme="minorHAnsi"/>
              </w:rPr>
              <w:t xml:space="preserve"> mnoho dalších informací.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9C7243" w:rsidR="000E094A" w:rsidRDefault="000434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CA46D33" w14:textId="56AFF96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E2A3ED" w14:textId="48CD47CF" w:rsidR="00514AA2" w:rsidRPr="00FF45EF" w:rsidRDefault="00514AA2" w:rsidP="00514AA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7203A">
              <w:rPr>
                <w:rFonts w:cstheme="minorHAnsi"/>
              </w:rPr>
              <w:t xml:space="preserve">Praktická část </w:t>
            </w:r>
            <w:r w:rsidR="00B910B9">
              <w:rPr>
                <w:rFonts w:cstheme="minorHAnsi"/>
              </w:rPr>
              <w:t>bakalářské práce</w:t>
            </w:r>
            <w:r w:rsidRPr="0077203A">
              <w:rPr>
                <w:rFonts w:cstheme="minorHAnsi"/>
              </w:rPr>
              <w:t>, analýza, začíná představením</w:t>
            </w:r>
            <w:r>
              <w:rPr>
                <w:rFonts w:cstheme="minorHAnsi"/>
              </w:rPr>
              <w:t xml:space="preserve"> </w:t>
            </w:r>
            <w:r w:rsidRPr="0077203A">
              <w:rPr>
                <w:rFonts w:cstheme="minorHAnsi"/>
              </w:rPr>
              <w:t>Lázn</w:t>
            </w:r>
            <w:r>
              <w:rPr>
                <w:rFonts w:cstheme="minorHAnsi"/>
              </w:rPr>
              <w:t>í</w:t>
            </w:r>
            <w:r w:rsidRPr="0077203A">
              <w:rPr>
                <w:rFonts w:cstheme="minorHAnsi"/>
              </w:rPr>
              <w:t xml:space="preserve"> Slatinice a. s.</w:t>
            </w:r>
            <w:r>
              <w:rPr>
                <w:rFonts w:cstheme="minorHAnsi"/>
              </w:rPr>
              <w:t xml:space="preserve"> Dále jsou představe</w:t>
            </w:r>
            <w:r w:rsidR="00B910B9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tři konkurenční </w:t>
            </w:r>
            <w:r w:rsidR="00B910B9">
              <w:rPr>
                <w:rFonts w:cstheme="minorHAnsi"/>
              </w:rPr>
              <w:t xml:space="preserve">lázeňská zařízení </w:t>
            </w:r>
            <w:r>
              <w:rPr>
                <w:rFonts w:cstheme="minorHAnsi"/>
              </w:rPr>
              <w:t xml:space="preserve">v rámci Olomouckého kraje. </w:t>
            </w:r>
            <w:r w:rsidRPr="00B910B9">
              <w:rPr>
                <w:rFonts w:cstheme="minorHAnsi"/>
              </w:rPr>
              <w:t>Benchmarking mohl být prezentován přehledněji</w:t>
            </w:r>
            <w:r w:rsidR="00B910B9">
              <w:rPr>
                <w:rFonts w:cstheme="minorHAnsi"/>
              </w:rPr>
              <w:t xml:space="preserve"> včetně uvedení souhrnného závěru v kontextu BP</w:t>
            </w:r>
            <w:r w:rsidR="0004342B">
              <w:rPr>
                <w:rFonts w:cstheme="minorHAnsi"/>
              </w:rPr>
              <w:t xml:space="preserve">. </w:t>
            </w:r>
            <w:r w:rsidRPr="0004342B">
              <w:rPr>
                <w:rFonts w:cstheme="minorHAnsi"/>
              </w:rPr>
              <w:t>Většinu prezentovaných příležitostí v rámci SWOT analýzy nelze chápat jako příležitosti.</w:t>
            </w:r>
            <w:r w:rsidR="0004342B">
              <w:rPr>
                <w:rFonts w:cstheme="minorHAnsi"/>
              </w:rPr>
              <w:t xml:space="preserve"> Podkapitola 8.3.3 s názvem Příležitosti neodpovídá tabulce číslo 9, kde jsou příležitosti prezentovány. Dále není zřejmé, proč je v rámci analýzy přestaven marketingový mix, když v teoretické části BP není tato problematika</w:t>
            </w:r>
            <w:r w:rsidR="0023251B">
              <w:rPr>
                <w:rFonts w:cstheme="minorHAnsi"/>
              </w:rPr>
              <w:t xml:space="preserve"> </w:t>
            </w:r>
            <w:r w:rsidR="0023251B">
              <w:rPr>
                <w:rFonts w:cstheme="minorHAnsi"/>
              </w:rPr>
              <w:t>vůbec prezentována</w:t>
            </w:r>
            <w:r w:rsidR="0004342B">
              <w:rPr>
                <w:rFonts w:cstheme="minorHAnsi"/>
              </w:rPr>
              <w:t>.</w:t>
            </w:r>
            <w:r w:rsidR="00FF45EF">
              <w:rPr>
                <w:rFonts w:cstheme="minorHAnsi"/>
              </w:rPr>
              <w:t xml:space="preserve"> Velmi nestandardně je dále prezentován výstup ze standardizovaného rozhovoru, který je součástí Přílohy P I. </w:t>
            </w:r>
            <w:r w:rsidRPr="0004342B">
              <w:rPr>
                <w:rFonts w:cstheme="minorHAnsi"/>
              </w:rPr>
              <w:t xml:space="preserve">Analytická část </w:t>
            </w:r>
            <w:r w:rsidR="0004342B" w:rsidRPr="0004342B">
              <w:rPr>
                <w:rFonts w:cstheme="minorHAnsi"/>
              </w:rPr>
              <w:t xml:space="preserve">BP opět </w:t>
            </w:r>
            <w:r w:rsidRPr="0004342B">
              <w:rPr>
                <w:rFonts w:cstheme="minorHAnsi"/>
              </w:rPr>
              <w:t>nenavazuje na teoretickou část BP, což je způsobeno zejména nedostatečným zpracování literární rešerše.</w:t>
            </w:r>
          </w:p>
          <w:p w14:paraId="37FFAED3" w14:textId="77777777" w:rsidR="00514AA2" w:rsidRDefault="00514A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40F67A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B3797E" w:rsidR="000E094A" w:rsidRDefault="002325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E6190F" w14:textId="3D1166B6" w:rsidR="0023251B" w:rsidRPr="0023251B" w:rsidRDefault="0023251B" w:rsidP="002325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3251B">
              <w:rPr>
                <w:rFonts w:cstheme="minorHAnsi"/>
              </w:rPr>
              <w:t>V závěru BP jsou</w:t>
            </w:r>
            <w:r>
              <w:rPr>
                <w:rFonts w:cstheme="minorHAnsi"/>
              </w:rPr>
              <w:t xml:space="preserve"> </w:t>
            </w:r>
            <w:r w:rsidRPr="0023251B">
              <w:rPr>
                <w:rFonts w:cstheme="minorHAnsi"/>
              </w:rPr>
              <w:t>stručně</w:t>
            </w:r>
            <w:r w:rsidRPr="0023251B">
              <w:rPr>
                <w:rFonts w:cstheme="minorHAnsi"/>
              </w:rPr>
              <w:t xml:space="preserve"> představeny závěrečné návrhy a doporučení</w:t>
            </w:r>
            <w:r>
              <w:rPr>
                <w:rFonts w:cstheme="minorHAnsi"/>
              </w:rPr>
              <w:t xml:space="preserve"> </w:t>
            </w:r>
            <w:r w:rsidRPr="0023251B">
              <w:rPr>
                <w:rFonts w:cstheme="minorHAnsi"/>
              </w:rPr>
              <w:t>vedoucí dle studentky ke zvýšení konkurenceschopnosti Lázní Slatinice a. s.</w:t>
            </w:r>
            <w:r>
              <w:rPr>
                <w:rFonts w:cstheme="minorHAnsi"/>
              </w:rPr>
              <w:t xml:space="preserve"> Nicméně, není vůbec zřejmé, na základě, jakých výzkumných analýz, výzkumných technik a tak podobně byly tyto závěrečné </w:t>
            </w:r>
            <w:r w:rsidRPr="0023251B">
              <w:rPr>
                <w:rFonts w:cstheme="minorHAnsi"/>
              </w:rPr>
              <w:t>návrhy a doporučení</w:t>
            </w:r>
            <w:r>
              <w:rPr>
                <w:rFonts w:cstheme="minorHAnsi"/>
              </w:rPr>
              <w:t xml:space="preserve"> definovány. Tato část BP tak opět nenavazuje na předchozí části bakalářské práce.</w:t>
            </w:r>
          </w:p>
          <w:p w14:paraId="4CDF7E50" w14:textId="77777777" w:rsidR="0023251B" w:rsidRDefault="0023251B" w:rsidP="0023251B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FCE28A" w:rsidR="000E094A" w:rsidRDefault="00FF45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187C44" w14:textId="35A31CAD" w:rsidR="0023251B" w:rsidRPr="00FF45EF" w:rsidRDefault="0023251B" w:rsidP="002325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F45EF">
              <w:rPr>
                <w:rFonts w:cstheme="minorHAnsi"/>
              </w:rPr>
              <w:t xml:space="preserve">Formálně lze BP vytknout nepřesné či chybné označení popisků obrázků </w:t>
            </w:r>
            <w:r w:rsidR="00FF45EF">
              <w:rPr>
                <w:rFonts w:cstheme="minorHAnsi"/>
              </w:rPr>
              <w:t>a</w:t>
            </w:r>
            <w:r w:rsidRPr="00FF45EF">
              <w:rPr>
                <w:rFonts w:cstheme="minorHAnsi"/>
              </w:rPr>
              <w:t xml:space="preserve"> tabulek, jiné styly písma,</w:t>
            </w:r>
            <w:r w:rsidR="00FF45EF" w:rsidRPr="00FF45EF">
              <w:rPr>
                <w:rFonts w:cstheme="minorHAnsi"/>
              </w:rPr>
              <w:t xml:space="preserve"> předložky či </w:t>
            </w:r>
            <w:r w:rsidRPr="00FF45EF">
              <w:rPr>
                <w:rFonts w:cstheme="minorHAnsi"/>
              </w:rPr>
              <w:t>spojky na konci řádku, překlepy a další. Některé prezentované tabulky</w:t>
            </w:r>
            <w:r w:rsidR="00FF45EF" w:rsidRPr="00FF45EF">
              <w:rPr>
                <w:rFonts w:cstheme="minorHAnsi"/>
              </w:rPr>
              <w:t xml:space="preserve"> (například tabulka číslo 1, 12 a další) </w:t>
            </w:r>
            <w:r w:rsidRPr="00FF45EF">
              <w:rPr>
                <w:rFonts w:cstheme="minorHAnsi"/>
              </w:rPr>
              <w:t xml:space="preserve">měly být součástí příloh BP. Logická provázanost textu </w:t>
            </w:r>
            <w:r w:rsidR="00FF45EF">
              <w:rPr>
                <w:rFonts w:cstheme="minorHAnsi"/>
              </w:rPr>
              <w:t>BP</w:t>
            </w:r>
            <w:r w:rsidRPr="00FF45EF">
              <w:rPr>
                <w:rFonts w:cstheme="minorHAnsi"/>
              </w:rPr>
              <w:t xml:space="preserve"> mohla být provedena důkladněji</w:t>
            </w:r>
            <w:r w:rsidR="00FF45EF">
              <w:rPr>
                <w:rFonts w:cstheme="minorHAnsi"/>
              </w:rPr>
              <w:t xml:space="preserve"> </w:t>
            </w:r>
            <w:r w:rsidRPr="00FF45EF">
              <w:rPr>
                <w:rFonts w:cstheme="minorHAnsi"/>
              </w:rPr>
              <w:t>a pečlivěji.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A0E983" w:rsidR="009C7318" w:rsidRDefault="00FF45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D1A4B" w14:textId="02212515" w:rsidR="00FF45EF" w:rsidRDefault="00FF45EF" w:rsidP="00FF45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Kladně lze hodnotit výběr společnosti, </w:t>
            </w:r>
            <w:r w:rsidR="00827AF2">
              <w:rPr>
                <w:rFonts w:cstheme="minorHAnsi"/>
              </w:rPr>
              <w:t>kdy problematika a fungování lázeňských zařízení je po globální pandemii COVID-19 poměrně diskutovaným tématem.</w:t>
            </w:r>
          </w:p>
          <w:p w14:paraId="4FC68188" w14:textId="4AB1430D" w:rsidR="00F92C79" w:rsidRPr="000E094A" w:rsidRDefault="00FF45EF" w:rsidP="00FF45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</w:t>
            </w:r>
            <w:r w:rsidR="00827AF2">
              <w:rPr>
                <w:rFonts w:cstheme="minorHAnsi"/>
              </w:rPr>
              <w:t xml:space="preserve"> bakalářskou práci </w:t>
            </w:r>
            <w:r w:rsidRPr="00D135C8">
              <w:rPr>
                <w:rFonts w:cstheme="minorHAnsi"/>
              </w:rPr>
              <w:t>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5D20AB0C" w:rsidR="005C4ACA" w:rsidRPr="00827AF2" w:rsidRDefault="00827AF2" w:rsidP="00827AF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27AF2">
        <w:rPr>
          <w:rFonts w:cstheme="minorHAnsi"/>
        </w:rPr>
        <w:t>Jak konkrétně student</w:t>
      </w:r>
      <w:r>
        <w:rPr>
          <w:rFonts w:cstheme="minorHAnsi"/>
        </w:rPr>
        <w:t>ka</w:t>
      </w:r>
      <w:r w:rsidRPr="00827AF2">
        <w:rPr>
          <w:rFonts w:cstheme="minorHAnsi"/>
        </w:rPr>
        <w:t xml:space="preserve"> zapracoval</w:t>
      </w:r>
      <w:r>
        <w:rPr>
          <w:rFonts w:cstheme="minorHAnsi"/>
        </w:rPr>
        <w:t>a</w:t>
      </w:r>
      <w:r w:rsidRPr="00827AF2">
        <w:rPr>
          <w:rFonts w:cstheme="minorHAnsi"/>
        </w:rPr>
        <w:t xml:space="preserve"> do své současné</w:t>
      </w:r>
      <w:r>
        <w:rPr>
          <w:rFonts w:cstheme="minorHAnsi"/>
        </w:rPr>
        <w:t xml:space="preserve"> bakalářské práce </w:t>
      </w:r>
      <w:r w:rsidRPr="00827AF2">
        <w:rPr>
          <w:rFonts w:cstheme="minorHAnsi"/>
        </w:rPr>
        <w:t xml:space="preserve">výtky a nedostatky, které vykazovala </w:t>
      </w:r>
      <w:r>
        <w:rPr>
          <w:rFonts w:cstheme="minorHAnsi"/>
        </w:rPr>
        <w:t xml:space="preserve">její bakalářská práce </w:t>
      </w:r>
      <w:r w:rsidRPr="00827AF2">
        <w:rPr>
          <w:rFonts w:cstheme="minorHAnsi"/>
        </w:rPr>
        <w:t xml:space="preserve">v den obhajoby, tedy </w:t>
      </w:r>
      <w:r>
        <w:rPr>
          <w:rFonts w:cstheme="minorHAnsi"/>
        </w:rPr>
        <w:t>27</w:t>
      </w:r>
      <w:r w:rsidRPr="00827AF2">
        <w:rPr>
          <w:rFonts w:cstheme="minorHAnsi"/>
        </w:rPr>
        <w:t>. 06. 20</w:t>
      </w:r>
      <w:r>
        <w:rPr>
          <w:rFonts w:cstheme="minorHAnsi"/>
        </w:rPr>
        <w:t>22</w:t>
      </w:r>
      <w:r w:rsidRPr="00827AF2">
        <w:rPr>
          <w:rFonts w:cstheme="minorHAnsi"/>
        </w:rPr>
        <w:t>? </w:t>
      </w:r>
    </w:p>
    <w:p w14:paraId="1991DEDB" w14:textId="5353E0EB" w:rsidR="005C4ACA" w:rsidRPr="00827AF2" w:rsidRDefault="00827AF2" w:rsidP="00827AF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64B0C">
        <w:rPr>
          <w:rFonts w:cstheme="minorHAnsi"/>
        </w:rPr>
        <w:t>Jakým způsobem lze charakterizovat</w:t>
      </w:r>
      <w:r>
        <w:rPr>
          <w:rFonts w:cstheme="minorHAnsi"/>
        </w:rPr>
        <w:t xml:space="preserve"> </w:t>
      </w:r>
      <w:r w:rsidRPr="00064B0C">
        <w:rPr>
          <w:rFonts w:cstheme="minorHAnsi"/>
        </w:rPr>
        <w:t>společnost Lázně Slatinice a. s</w:t>
      </w:r>
      <w:r>
        <w:rPr>
          <w:rFonts w:cstheme="minorHAnsi"/>
        </w:rPr>
        <w:t xml:space="preserve">. </w:t>
      </w:r>
      <w:r w:rsidRPr="00064B0C">
        <w:rPr>
          <w:rFonts w:cstheme="minorHAnsi"/>
        </w:rPr>
        <w:t xml:space="preserve">na základě růstové strategie podle Ansoffa, dle Porterovy generické strategie a podle Kotlerovy strategie prostřednictvím velikosti tržního podílu? Jakým způsobem lze prezentovat vybranou </w:t>
      </w:r>
      <w:r>
        <w:rPr>
          <w:rFonts w:cstheme="minorHAnsi"/>
        </w:rPr>
        <w:t>společnost</w:t>
      </w:r>
      <w:r w:rsidRPr="00064B0C">
        <w:rPr>
          <w:rFonts w:cstheme="minorHAnsi"/>
        </w:rPr>
        <w:t xml:space="preserve"> dle </w:t>
      </w:r>
      <w:r>
        <w:rPr>
          <w:rFonts w:cstheme="minorHAnsi"/>
        </w:rPr>
        <w:t xml:space="preserve">analýzy McKinsey a dle analýzy </w:t>
      </w:r>
      <w:r w:rsidRPr="00064B0C">
        <w:rPr>
          <w:rFonts w:cstheme="minorHAnsi"/>
        </w:rPr>
        <w:t>STP?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77A75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972D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972D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AD6E6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72DC">
            <w:rPr>
              <w:rFonts w:cstheme="minorHAnsi"/>
            </w:rPr>
            <w:t>20.08.2022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2B"/>
    <w:rsid w:val="000C0B3F"/>
    <w:rsid w:val="000E094A"/>
    <w:rsid w:val="0023251B"/>
    <w:rsid w:val="0024258E"/>
    <w:rsid w:val="0029651C"/>
    <w:rsid w:val="004D378C"/>
    <w:rsid w:val="00514AA2"/>
    <w:rsid w:val="005A3B4A"/>
    <w:rsid w:val="005C4ACA"/>
    <w:rsid w:val="0067082B"/>
    <w:rsid w:val="00694399"/>
    <w:rsid w:val="0073639B"/>
    <w:rsid w:val="007553A6"/>
    <w:rsid w:val="00827AF2"/>
    <w:rsid w:val="0085398A"/>
    <w:rsid w:val="008B781B"/>
    <w:rsid w:val="008C0DB8"/>
    <w:rsid w:val="00974EA2"/>
    <w:rsid w:val="00987B93"/>
    <w:rsid w:val="009C322A"/>
    <w:rsid w:val="009C7318"/>
    <w:rsid w:val="00A40E93"/>
    <w:rsid w:val="00A70A5E"/>
    <w:rsid w:val="00A7527E"/>
    <w:rsid w:val="00AC6C8F"/>
    <w:rsid w:val="00B14451"/>
    <w:rsid w:val="00B910B9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972DC"/>
    <w:rsid w:val="00FC285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E598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E598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2022-08-20T18:28:00Z</dcterms:created>
  <dcterms:modified xsi:type="dcterms:W3CDTF">2022-08-20T18:28:00Z</dcterms:modified>
</cp:coreProperties>
</file>