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E8014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6D6A90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D6A90">
              <w:rPr>
                <w:rFonts w:ascii="Calibri" w:hAnsi="Calibri" w:cs="Calibri"/>
                <w:b/>
                <w:sz w:val="24"/>
                <w:szCs w:val="24"/>
              </w:rPr>
              <w:t>Kateřina Gabrielová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D6A9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D6A90">
              <w:rPr>
                <w:rFonts w:ascii="Calibri" w:hAnsi="Calibri" w:cs="Calibri"/>
                <w:b/>
                <w:sz w:val="24"/>
                <w:szCs w:val="24"/>
              </w:rPr>
              <w:t>Odraz historické reklamní kampaně v současnosti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27639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807931" r:id="rId8"/>
        </w:object>
      </w:r>
    </w:p>
    <w:p w:rsidR="00152D38" w:rsidRDefault="00152D3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B34274" w:rsidRPr="00B34274" w:rsidRDefault="00152D3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4274">
        <w:rPr>
          <w:rFonts w:ascii="Calibri" w:hAnsi="Calibri" w:cs="Calibri"/>
          <w:sz w:val="24"/>
          <w:szCs w:val="24"/>
        </w:rPr>
        <w:t>Zásadní problém spatřuji v teoretické části práce, která svou strukturou i obsahem neodráží část praktickou. Popisovat marketingový mix při zaměření práce konkrétně na reklamu považuji za zbytečn</w:t>
      </w:r>
      <w:r w:rsidR="00F45E4A">
        <w:rPr>
          <w:rFonts w:ascii="Calibri" w:hAnsi="Calibri" w:cs="Calibri"/>
          <w:sz w:val="24"/>
          <w:szCs w:val="24"/>
        </w:rPr>
        <w:t>é, i komunikační mix by stačilo pouze zmínit, protože práce se jeho prvky nezabývá.</w:t>
      </w:r>
      <w:r w:rsidRPr="00B34274">
        <w:rPr>
          <w:rFonts w:ascii="Calibri" w:hAnsi="Calibri" w:cs="Calibri"/>
          <w:sz w:val="24"/>
          <w:szCs w:val="24"/>
        </w:rPr>
        <w:t xml:space="preserve"> Zato reklamě jako takové měl být věnován větší prostor, zejména pak reklamě televizní, jejím specifikům, způsobům zpracování (délka spotu, hraná reklama, animace, dabing, </w:t>
      </w:r>
      <w:r w:rsidR="00B34274" w:rsidRPr="00B34274">
        <w:rPr>
          <w:rFonts w:ascii="Calibri" w:hAnsi="Calibri" w:cs="Calibri"/>
          <w:sz w:val="24"/>
          <w:szCs w:val="24"/>
        </w:rPr>
        <w:t xml:space="preserve">copy, </w:t>
      </w:r>
      <w:r w:rsidRPr="00B34274">
        <w:rPr>
          <w:rFonts w:ascii="Calibri" w:hAnsi="Calibri" w:cs="Calibri"/>
          <w:sz w:val="24"/>
          <w:szCs w:val="24"/>
        </w:rPr>
        <w:t>použití hudby atd.</w:t>
      </w:r>
      <w:r w:rsidR="00B34274">
        <w:rPr>
          <w:rFonts w:ascii="Calibri" w:hAnsi="Calibri" w:cs="Calibri"/>
          <w:sz w:val="24"/>
          <w:szCs w:val="24"/>
        </w:rPr>
        <w:t xml:space="preserve">), časy vysílání, frekvence opakování, finanční náklady apod. Největším nedostatkem je pak absence informací o tom, jak se televizní reklama vyhodnocuje, jak se měří její účinnost, jaké cíle si může stanovovat a jak jich může dosáhnout – a </w:t>
      </w:r>
      <w:r w:rsidR="00F45E4A">
        <w:rPr>
          <w:rFonts w:ascii="Calibri" w:hAnsi="Calibri" w:cs="Calibri"/>
          <w:sz w:val="24"/>
          <w:szCs w:val="24"/>
        </w:rPr>
        <w:t xml:space="preserve">hlavně </w:t>
      </w:r>
      <w:r w:rsidR="00B34274">
        <w:rPr>
          <w:rFonts w:ascii="Calibri" w:hAnsi="Calibri" w:cs="Calibri"/>
          <w:sz w:val="24"/>
          <w:szCs w:val="24"/>
        </w:rPr>
        <w:t xml:space="preserve">jak se to dá změřit. Jednou z metod je marketingový výzkum, který provedla autorka. Na základě čeho, když v teoretické části o analytických metodách není ani zmínka?    </w:t>
      </w:r>
    </w:p>
    <w:p w:rsidR="00B34274" w:rsidRDefault="00B3427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4274">
        <w:rPr>
          <w:rFonts w:ascii="Calibri" w:hAnsi="Calibri" w:cs="Calibri"/>
          <w:sz w:val="24"/>
          <w:szCs w:val="24"/>
        </w:rPr>
        <w:t>Kapitola</w:t>
      </w:r>
      <w:r w:rsidR="00F45E4A">
        <w:rPr>
          <w:rFonts w:ascii="Calibri" w:hAnsi="Calibri" w:cs="Calibri"/>
          <w:sz w:val="24"/>
          <w:szCs w:val="24"/>
        </w:rPr>
        <w:t xml:space="preserve"> o komunikaci</w:t>
      </w:r>
      <w:r w:rsidRPr="00B34274">
        <w:rPr>
          <w:rFonts w:ascii="Calibri" w:hAnsi="Calibri" w:cs="Calibri"/>
          <w:sz w:val="24"/>
          <w:szCs w:val="24"/>
        </w:rPr>
        <w:t xml:space="preserve"> (s. 15 – 20) v podstatě vychází ze tří zdrojů z let 2003, 2004 a 2013. Další zdroje </w:t>
      </w:r>
      <w:r w:rsidR="00F45E4A">
        <w:rPr>
          <w:rFonts w:ascii="Calibri" w:hAnsi="Calibri" w:cs="Calibri"/>
          <w:sz w:val="24"/>
          <w:szCs w:val="24"/>
        </w:rPr>
        <w:t xml:space="preserve">v textu dále </w:t>
      </w:r>
      <w:r w:rsidRPr="00B34274">
        <w:rPr>
          <w:rFonts w:ascii="Calibri" w:hAnsi="Calibri" w:cs="Calibri"/>
          <w:sz w:val="24"/>
          <w:szCs w:val="24"/>
        </w:rPr>
        <w:t xml:space="preserve">jsou </w:t>
      </w:r>
      <w:r w:rsidR="00F45E4A">
        <w:rPr>
          <w:rFonts w:ascii="Calibri" w:hAnsi="Calibri" w:cs="Calibri"/>
          <w:sz w:val="24"/>
          <w:szCs w:val="24"/>
        </w:rPr>
        <w:t xml:space="preserve">rovněž většinou </w:t>
      </w:r>
      <w:r w:rsidRPr="00B34274">
        <w:rPr>
          <w:rFonts w:ascii="Calibri" w:hAnsi="Calibri" w:cs="Calibri"/>
          <w:sz w:val="24"/>
          <w:szCs w:val="24"/>
        </w:rPr>
        <w:t>min. 7 let staré. Pokud se práce věnuje televizní reklamě, zmiňuje také online reklamu a sociální sítě, pak je třeba použít opravdu aktuální zdroje.</w:t>
      </w:r>
      <w:r>
        <w:rPr>
          <w:rFonts w:ascii="Calibri" w:hAnsi="Calibri" w:cs="Calibri"/>
          <w:sz w:val="24"/>
          <w:szCs w:val="24"/>
        </w:rPr>
        <w:t xml:space="preserve"> </w:t>
      </w:r>
      <w:r w:rsidR="002D04CF">
        <w:rPr>
          <w:rFonts w:ascii="Calibri" w:hAnsi="Calibri" w:cs="Calibri"/>
          <w:sz w:val="24"/>
          <w:szCs w:val="24"/>
        </w:rPr>
        <w:t xml:space="preserve">U popisu jednotlivých kampaní </w:t>
      </w:r>
      <w:r w:rsidR="0015622D">
        <w:rPr>
          <w:rFonts w:ascii="Calibri" w:hAnsi="Calibri" w:cs="Calibri"/>
          <w:sz w:val="24"/>
          <w:szCs w:val="24"/>
        </w:rPr>
        <w:t xml:space="preserve">v praktické části </w:t>
      </w:r>
      <w:r w:rsidR="002D04CF">
        <w:rPr>
          <w:rFonts w:ascii="Calibri" w:hAnsi="Calibri" w:cs="Calibri"/>
          <w:sz w:val="24"/>
          <w:szCs w:val="24"/>
        </w:rPr>
        <w:t xml:space="preserve">často zdroje </w:t>
      </w:r>
      <w:r w:rsidR="0015622D">
        <w:rPr>
          <w:rFonts w:ascii="Calibri" w:hAnsi="Calibri" w:cs="Calibri"/>
          <w:sz w:val="24"/>
          <w:szCs w:val="24"/>
        </w:rPr>
        <w:t xml:space="preserve">úplně </w:t>
      </w:r>
      <w:r w:rsidR="002D04CF">
        <w:rPr>
          <w:rFonts w:ascii="Calibri" w:hAnsi="Calibri" w:cs="Calibri"/>
          <w:sz w:val="24"/>
          <w:szCs w:val="24"/>
        </w:rPr>
        <w:t xml:space="preserve">chybí. </w:t>
      </w:r>
    </w:p>
    <w:p w:rsidR="00B34274" w:rsidRDefault="00B3427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Přestože analytická část nemá oporu v teoretické části, je analýza nastavena i provedena v podstatě správně. Bo</w:t>
      </w:r>
      <w:r w:rsidR="00F45E4A">
        <w:rPr>
          <w:rFonts w:ascii="Calibri" w:hAnsi="Calibri" w:cs="Calibri"/>
          <w:sz w:val="24"/>
          <w:szCs w:val="24"/>
        </w:rPr>
        <w:t xml:space="preserve">hužel vůbec nevyužívá potenciál obdivuhodných </w:t>
      </w:r>
      <w:r>
        <w:rPr>
          <w:rFonts w:ascii="Calibri" w:hAnsi="Calibri" w:cs="Calibri"/>
          <w:sz w:val="24"/>
          <w:szCs w:val="24"/>
        </w:rPr>
        <w:t xml:space="preserve">372 respondentů. Vyhodnocení je velmi povrchní, nehledá ani ty nejjednodušší souvislosti mezi jednotlivými odpověďmi o vztahu ke značce a demografickými údaji </w:t>
      </w:r>
      <w:r w:rsidR="00CC1B98">
        <w:rPr>
          <w:rFonts w:ascii="Calibri" w:hAnsi="Calibri" w:cs="Calibri"/>
          <w:sz w:val="24"/>
          <w:szCs w:val="24"/>
        </w:rPr>
        <w:t xml:space="preserve">respondentů. Omezuje se na pouhý výčet otázek a procentuelní vyjádření poměru respondentů u jednotlivých odpovědí.   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B061DB" w:rsidRDefault="00CC1B9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Struktura práce není příliš přehledná ani logická. Společnost Kofola je částečně představena v teoretické části, částečně v praktické. Metodika a cíle práce jsou zároveň projektem výzkumu. K dosažení cíle však bylo třeba i jiných metod – např. obsahová analýza spotu (ačkoliv se přímo kapitola s tímto názvem v práci nevyskytuje) nebo rešerše zdrojů k tématu.</w:t>
      </w:r>
      <w:r w:rsidR="00F45E4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E8014C" w:rsidRPr="00CC1B98" w:rsidRDefault="00CC1B9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Návrhy </w:t>
      </w:r>
      <w:r w:rsidR="00F45E4A">
        <w:rPr>
          <w:rFonts w:ascii="Calibri" w:hAnsi="Calibri" w:cs="Calibri"/>
          <w:sz w:val="24"/>
          <w:szCs w:val="24"/>
        </w:rPr>
        <w:t xml:space="preserve">řešení </w:t>
      </w:r>
      <w:r>
        <w:rPr>
          <w:rFonts w:ascii="Calibri" w:hAnsi="Calibri" w:cs="Calibri"/>
          <w:sz w:val="24"/>
          <w:szCs w:val="24"/>
        </w:rPr>
        <w:t>z větší části nevychází z výzkumu ani z</w:t>
      </w:r>
      <w:r w:rsidR="00F45E4A">
        <w:rPr>
          <w:rFonts w:ascii="Calibri" w:hAnsi="Calibri" w:cs="Calibri"/>
          <w:sz w:val="24"/>
          <w:szCs w:val="24"/>
        </w:rPr>
        <w:t xml:space="preserve"> rešerše. 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CC1B98" w:rsidRPr="00F45E4A" w:rsidRDefault="00CC1B98" w:rsidP="00CC1B9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F45E4A">
        <w:rPr>
          <w:rFonts w:ascii="Calibri" w:hAnsi="Calibri" w:cs="Calibri"/>
          <w:sz w:val="24"/>
          <w:szCs w:val="24"/>
        </w:rPr>
        <w:t xml:space="preserve">Správné formátování, uvádění zdrojů </w:t>
      </w:r>
    </w:p>
    <w:p w:rsidR="00CC1B98" w:rsidRPr="00F45E4A" w:rsidRDefault="00CC1B98" w:rsidP="00CC1B9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F45E4A">
        <w:rPr>
          <w:rFonts w:ascii="Calibri" w:hAnsi="Calibri" w:cs="Calibri"/>
          <w:sz w:val="24"/>
          <w:szCs w:val="24"/>
        </w:rPr>
        <w:t xml:space="preserve">Velký vzorek respondentů a jejich téměř rovnoměrné demografické rozložení 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CC1B98" w:rsidRPr="00F45E4A" w:rsidRDefault="00CC1B98" w:rsidP="00CC1B9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F45E4A">
        <w:rPr>
          <w:rFonts w:ascii="Calibri" w:hAnsi="Calibri" w:cs="Calibri"/>
          <w:sz w:val="24"/>
          <w:szCs w:val="24"/>
        </w:rPr>
        <w:t xml:space="preserve">Nedostatečná teoretická část </w:t>
      </w:r>
    </w:p>
    <w:p w:rsidR="00CC1B98" w:rsidRPr="00F45E4A" w:rsidRDefault="00CC1B98" w:rsidP="00CC1B9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F45E4A">
        <w:rPr>
          <w:rFonts w:ascii="Calibri" w:hAnsi="Calibri" w:cs="Calibri"/>
          <w:sz w:val="24"/>
          <w:szCs w:val="24"/>
        </w:rPr>
        <w:t xml:space="preserve">Nepřehledná struktura </w:t>
      </w:r>
    </w:p>
    <w:p w:rsidR="00CC1B98" w:rsidRPr="00F45E4A" w:rsidRDefault="00CC1B98" w:rsidP="00CC1B9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F45E4A">
        <w:rPr>
          <w:rFonts w:ascii="Calibri" w:hAnsi="Calibri" w:cs="Calibri"/>
          <w:sz w:val="24"/>
          <w:szCs w:val="24"/>
        </w:rPr>
        <w:t xml:space="preserve">Nedostatečné využití potenciálu zvolené metody a povrchní vyhodnocení získaných dat  </w:t>
      </w:r>
    </w:p>
    <w:p w:rsidR="006D6A90" w:rsidRDefault="006D6A9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Pr="00152D38" w:rsidRDefault="00152D38" w:rsidP="006D6A9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52D38">
        <w:rPr>
          <w:rFonts w:asciiTheme="minorHAnsi" w:hAnsiTheme="minorHAnsi" w:cstheme="minorHAnsi"/>
          <w:sz w:val="24"/>
          <w:szCs w:val="24"/>
        </w:rPr>
        <w:t xml:space="preserve">Jaké další metody byste k analýze využila, kdybyste pracovala v Kofole, měla přístup ke všem datům a neomezený rozpočet? </w:t>
      </w:r>
    </w:p>
    <w:p w:rsidR="006D6A90" w:rsidRPr="00152D38" w:rsidRDefault="00152D38" w:rsidP="006D6A9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Spojení Kofola + alkohol</w:t>
      </w:r>
      <w:r w:rsidRPr="00152D38">
        <w:rPr>
          <w:rFonts w:asciiTheme="minorHAnsi" w:hAnsiTheme="minorHAnsi" w:cstheme="minorHAnsi"/>
          <w:sz w:val="24"/>
          <w:szCs w:val="24"/>
        </w:rPr>
        <w:t xml:space="preserve"> a jeho zobrazení v komunikaci – může to fungovat? Odpovídá to </w:t>
      </w:r>
      <w:r>
        <w:rPr>
          <w:rFonts w:asciiTheme="minorHAnsi" w:hAnsiTheme="minorHAnsi" w:cstheme="minorHAnsi"/>
          <w:sz w:val="24"/>
          <w:szCs w:val="24"/>
        </w:rPr>
        <w:t xml:space="preserve">dlouhodobé </w:t>
      </w:r>
      <w:r w:rsidRPr="00152D38">
        <w:rPr>
          <w:rFonts w:asciiTheme="minorHAnsi" w:hAnsiTheme="minorHAnsi" w:cstheme="minorHAnsi"/>
          <w:sz w:val="24"/>
          <w:szCs w:val="24"/>
        </w:rPr>
        <w:t>strategii značky?</w:t>
      </w:r>
      <w:r>
        <w:rPr>
          <w:rFonts w:asciiTheme="minorHAnsi" w:hAnsiTheme="minorHAnsi" w:cstheme="minorHAnsi"/>
          <w:sz w:val="24"/>
          <w:szCs w:val="24"/>
        </w:rPr>
        <w:t xml:space="preserve"> Kdo je vlastně jejich cílová skupina? </w:t>
      </w:r>
      <w:r w:rsidRPr="00152D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52D38" w:rsidRPr="00152D38" w:rsidRDefault="00152D38" w:rsidP="00152D38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152D38">
        <w:rPr>
          <w:rFonts w:asciiTheme="minorHAnsi" w:hAnsiTheme="minorHAnsi" w:cstheme="minorHAnsi"/>
          <w:bCs/>
        </w:rPr>
        <w:t>Tato otázka v dotazníku: „Máte nápoj Kofola nějak spojený s Vašimi Vánoci a jejich oslavou?“ –</w:t>
      </w:r>
      <w:r>
        <w:rPr>
          <w:rFonts w:asciiTheme="minorHAnsi" w:hAnsiTheme="minorHAnsi" w:cstheme="minorHAnsi"/>
          <w:bCs/>
        </w:rPr>
        <w:t xml:space="preserve"> Z</w:t>
      </w:r>
      <w:r w:rsidRPr="00152D38">
        <w:rPr>
          <w:rFonts w:asciiTheme="minorHAnsi" w:hAnsiTheme="minorHAnsi" w:cstheme="minorHAnsi"/>
          <w:bCs/>
        </w:rPr>
        <w:t xml:space="preserve">namená to, že 99 % procent respondentů nápoj o Vánocích </w:t>
      </w:r>
      <w:r>
        <w:rPr>
          <w:rFonts w:asciiTheme="minorHAnsi" w:hAnsiTheme="minorHAnsi" w:cstheme="minorHAnsi"/>
          <w:bCs/>
        </w:rPr>
        <w:t>opravdu pije</w:t>
      </w:r>
      <w:r w:rsidRPr="00152D38">
        <w:rPr>
          <w:rFonts w:asciiTheme="minorHAnsi" w:hAnsiTheme="minorHAnsi" w:cstheme="minorHAnsi"/>
          <w:bCs/>
        </w:rPr>
        <w:t xml:space="preserve"> nebo že mají vánoční období spojené s reklamním spotem?</w:t>
      </w:r>
      <w:r>
        <w:rPr>
          <w:rFonts w:asciiTheme="minorHAnsi" w:hAnsiTheme="minorHAnsi" w:cstheme="minorHAnsi"/>
          <w:bCs/>
        </w:rPr>
        <w:t xml:space="preserve"> </w:t>
      </w:r>
      <w:r w:rsidR="00AB2071">
        <w:rPr>
          <w:rFonts w:asciiTheme="minorHAnsi" w:hAnsiTheme="minorHAnsi" w:cstheme="minorHAnsi"/>
          <w:bCs/>
        </w:rPr>
        <w:t xml:space="preserve">Lze to na základě takto položené otázky rozlišit? </w:t>
      </w:r>
      <w:r w:rsidRPr="00152D38">
        <w:rPr>
          <w:rFonts w:asciiTheme="minorHAnsi" w:hAnsiTheme="minorHAnsi" w:cstheme="minorHAnsi"/>
          <w:bCs/>
        </w:rPr>
        <w:t xml:space="preserve">   </w:t>
      </w:r>
    </w:p>
    <w:p w:rsidR="006D6A90" w:rsidRDefault="006D6A90" w:rsidP="00152D38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6D6A90">
        <w:rPr>
          <w:rFonts w:ascii="Calibri" w:hAnsi="Calibri" w:cs="Calibri"/>
          <w:sz w:val="24"/>
          <w:szCs w:val="24"/>
        </w:rPr>
        <w:t xml:space="preserve"> 15. 8. 2020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09" w:rsidRDefault="007C1209">
      <w:r>
        <w:separator/>
      </w:r>
    </w:p>
  </w:endnote>
  <w:endnote w:type="continuationSeparator" w:id="0">
    <w:p w:rsidR="007C1209" w:rsidRDefault="007C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442CD9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09" w:rsidRDefault="007C1209">
      <w:r>
        <w:separator/>
      </w:r>
    </w:p>
  </w:footnote>
  <w:footnote w:type="continuationSeparator" w:id="0">
    <w:p w:rsidR="007C1209" w:rsidRDefault="007C1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574462"/>
    <w:multiLevelType w:val="hybridMultilevel"/>
    <w:tmpl w:val="03D23A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64060"/>
    <w:multiLevelType w:val="hybridMultilevel"/>
    <w:tmpl w:val="9BB61DE2"/>
    <w:lvl w:ilvl="0" w:tplc="15E8D2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2D38"/>
    <w:rsid w:val="0015622D"/>
    <w:rsid w:val="00171E88"/>
    <w:rsid w:val="001A0981"/>
    <w:rsid w:val="001B0706"/>
    <w:rsid w:val="001B66AE"/>
    <w:rsid w:val="001C504C"/>
    <w:rsid w:val="001D4316"/>
    <w:rsid w:val="001F125B"/>
    <w:rsid w:val="001F4E75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39C"/>
    <w:rsid w:val="0028399C"/>
    <w:rsid w:val="002A2209"/>
    <w:rsid w:val="002A6B01"/>
    <w:rsid w:val="002B07FF"/>
    <w:rsid w:val="002B2FE4"/>
    <w:rsid w:val="002B3967"/>
    <w:rsid w:val="002B786A"/>
    <w:rsid w:val="002C44EF"/>
    <w:rsid w:val="002D04C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3583"/>
    <w:rsid w:val="00442CD9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6A4A"/>
    <w:rsid w:val="00581869"/>
    <w:rsid w:val="00581EDF"/>
    <w:rsid w:val="005820B2"/>
    <w:rsid w:val="005934FB"/>
    <w:rsid w:val="00595345"/>
    <w:rsid w:val="005B2CF0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4EC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1209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3D08"/>
    <w:rsid w:val="00845234"/>
    <w:rsid w:val="0085026C"/>
    <w:rsid w:val="00852654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2071"/>
    <w:rsid w:val="00AC0287"/>
    <w:rsid w:val="00AE5F6C"/>
    <w:rsid w:val="00AF23F4"/>
    <w:rsid w:val="00AF5110"/>
    <w:rsid w:val="00B01F32"/>
    <w:rsid w:val="00B05225"/>
    <w:rsid w:val="00B061DB"/>
    <w:rsid w:val="00B0625F"/>
    <w:rsid w:val="00B10BCB"/>
    <w:rsid w:val="00B2031F"/>
    <w:rsid w:val="00B249D9"/>
    <w:rsid w:val="00B302A7"/>
    <w:rsid w:val="00B3345C"/>
    <w:rsid w:val="00B34274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A5B"/>
    <w:rsid w:val="00C10AE5"/>
    <w:rsid w:val="00C47F7E"/>
    <w:rsid w:val="00C6091C"/>
    <w:rsid w:val="00C7046F"/>
    <w:rsid w:val="00C75DA8"/>
    <w:rsid w:val="00C83B7F"/>
    <w:rsid w:val="00CB5F99"/>
    <w:rsid w:val="00CC1B98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014C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45E4A"/>
    <w:rsid w:val="00F52FB6"/>
    <w:rsid w:val="00F5641C"/>
    <w:rsid w:val="00F82569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B061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1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10</cp:revision>
  <cp:lastPrinted>2010-04-15T13:27:00Z</cp:lastPrinted>
  <dcterms:created xsi:type="dcterms:W3CDTF">2020-08-15T20:47:00Z</dcterms:created>
  <dcterms:modified xsi:type="dcterms:W3CDTF">2020-08-24T18:58:00Z</dcterms:modified>
</cp:coreProperties>
</file>