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19262472" w14:textId="77777777" w:rsidTr="00AD2438">
        <w:tc>
          <w:tcPr>
            <w:tcW w:w="9828" w:type="dxa"/>
            <w:gridSpan w:val="9"/>
          </w:tcPr>
          <w:p w14:paraId="0297EB2F" w14:textId="58EC5087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CD71FB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518424E" w14:textId="77777777" w:rsidTr="00AD2438">
        <w:tc>
          <w:tcPr>
            <w:tcW w:w="3348" w:type="dxa"/>
          </w:tcPr>
          <w:p w14:paraId="6750EFFF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713FE87" w14:textId="3FACB986" w:rsidR="006847E2" w:rsidRPr="00AD2438" w:rsidRDefault="00BD3FA6" w:rsidP="00362AB0">
            <w:pPr>
              <w:rPr>
                <w:lang w:val="en-GB"/>
              </w:rPr>
            </w:pPr>
            <w:r>
              <w:rPr>
                <w:lang w:val="en-GB"/>
              </w:rPr>
              <w:t>Yvetta</w:t>
            </w:r>
            <w:r w:rsidR="007B657C">
              <w:rPr>
                <w:lang w:val="en-GB"/>
              </w:rPr>
              <w:t xml:space="preserve"> </w:t>
            </w:r>
            <w:r w:rsidRPr="00BD3FA6">
              <w:rPr>
                <w:lang w:val="en-GB"/>
              </w:rPr>
              <w:t>Krejčová</w:t>
            </w:r>
          </w:p>
        </w:tc>
      </w:tr>
      <w:tr w:rsidR="006847E2" w:rsidRPr="00AD2438" w14:paraId="7D26CF81" w14:textId="77777777" w:rsidTr="00AD2438">
        <w:tc>
          <w:tcPr>
            <w:tcW w:w="3348" w:type="dxa"/>
          </w:tcPr>
          <w:p w14:paraId="4EB48C31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7F73162E" w14:textId="551BE31C" w:rsidR="006847E2" w:rsidRPr="00AD2438" w:rsidRDefault="003137F6" w:rsidP="00362AB0">
            <w:pPr>
              <w:rPr>
                <w:lang w:val="en-GB"/>
              </w:rPr>
            </w:pPr>
            <w:r w:rsidRPr="003137F6">
              <w:rPr>
                <w:lang w:val="en-GB"/>
              </w:rPr>
              <w:t xml:space="preserve">An Analysis of the Mythological Archetypes Found in the First </w:t>
            </w:r>
            <w:r w:rsidRPr="003137F6">
              <w:rPr>
                <w:i/>
                <w:iCs/>
                <w:lang w:val="en-GB"/>
              </w:rPr>
              <w:t>Star Wars</w:t>
            </w:r>
            <w:r w:rsidRPr="003137F6">
              <w:rPr>
                <w:lang w:val="en-GB"/>
              </w:rPr>
              <w:t xml:space="preserve"> Trilogy (1977-1983)</w:t>
            </w:r>
          </w:p>
        </w:tc>
      </w:tr>
      <w:tr w:rsidR="006847E2" w:rsidRPr="00AD2438" w14:paraId="51E23586" w14:textId="77777777" w:rsidTr="00AD2438">
        <w:tc>
          <w:tcPr>
            <w:tcW w:w="3348" w:type="dxa"/>
          </w:tcPr>
          <w:p w14:paraId="54F37E2D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C3C56FF" w14:textId="250DBEF3" w:rsidR="006847E2" w:rsidRPr="00AD2438" w:rsidRDefault="00CD71FB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931C076" w14:textId="77777777" w:rsidTr="00AD2438">
        <w:tc>
          <w:tcPr>
            <w:tcW w:w="3348" w:type="dxa"/>
          </w:tcPr>
          <w:p w14:paraId="6E2C3B0E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31E27F13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6E13DEB9" w14:textId="77777777" w:rsidTr="00AD2438">
        <w:tc>
          <w:tcPr>
            <w:tcW w:w="3348" w:type="dxa"/>
          </w:tcPr>
          <w:p w14:paraId="64B1506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01672C1C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49C9A7E3" w14:textId="77777777" w:rsidTr="00AD2438">
        <w:tc>
          <w:tcPr>
            <w:tcW w:w="3348" w:type="dxa"/>
            <w:vAlign w:val="center"/>
          </w:tcPr>
          <w:p w14:paraId="0B545406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3D283017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5BEE21C3" w14:textId="77777777" w:rsidTr="00AD2438">
        <w:tc>
          <w:tcPr>
            <w:tcW w:w="9828" w:type="dxa"/>
            <w:gridSpan w:val="9"/>
            <w:shd w:val="clear" w:color="auto" w:fill="A6A6A6"/>
          </w:tcPr>
          <w:p w14:paraId="583A9EE2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1A59B8AF" w14:textId="77777777" w:rsidTr="00AD2438">
        <w:tc>
          <w:tcPr>
            <w:tcW w:w="6791" w:type="dxa"/>
            <w:gridSpan w:val="3"/>
          </w:tcPr>
          <w:p w14:paraId="599211A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53BB148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B0F13A6" w14:textId="77777777" w:rsidR="006847E2" w:rsidRPr="008010F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8010F6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1C719F4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DF7FD5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DBF0CA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6555744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77796D" w14:textId="77777777" w:rsidTr="00AD2438">
        <w:tc>
          <w:tcPr>
            <w:tcW w:w="6791" w:type="dxa"/>
            <w:gridSpan w:val="3"/>
          </w:tcPr>
          <w:p w14:paraId="7F0EC79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50C10FF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6AF4ED5C" w14:textId="77777777" w:rsidR="006847E2" w:rsidRPr="008010F6" w:rsidRDefault="006847E2" w:rsidP="00AD2438">
            <w:pPr>
              <w:jc w:val="center"/>
              <w:rPr>
                <w:lang w:val="en-GB"/>
              </w:rPr>
            </w:pPr>
            <w:r w:rsidRPr="008010F6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142E3D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E2AE3C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E721A9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A7415D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906020" w14:textId="77777777" w:rsidTr="00AD2438">
        <w:tc>
          <w:tcPr>
            <w:tcW w:w="6791" w:type="dxa"/>
            <w:gridSpan w:val="3"/>
          </w:tcPr>
          <w:p w14:paraId="6C7A49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A4F6F5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46E9367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61199E7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EE2644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E2EA29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E20FCD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3E9EFA29" w14:textId="77777777" w:rsidTr="00AD2438">
        <w:tc>
          <w:tcPr>
            <w:tcW w:w="9828" w:type="dxa"/>
            <w:gridSpan w:val="9"/>
            <w:shd w:val="clear" w:color="auto" w:fill="A6A6A6"/>
          </w:tcPr>
          <w:p w14:paraId="27C4A94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71DA1BBB" w14:textId="77777777" w:rsidTr="00AD2438">
        <w:tc>
          <w:tcPr>
            <w:tcW w:w="6791" w:type="dxa"/>
            <w:gridSpan w:val="3"/>
          </w:tcPr>
          <w:p w14:paraId="73EFC9E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F769883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23C58CB1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CB3377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264CAC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5FC3B3E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58A7F09" w14:textId="77777777" w:rsidTr="00AD2438">
        <w:tc>
          <w:tcPr>
            <w:tcW w:w="6791" w:type="dxa"/>
            <w:gridSpan w:val="3"/>
          </w:tcPr>
          <w:p w14:paraId="5766BB36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9E17E0F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2AADC10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6D29FC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949642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F93D621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1712902D" w14:textId="77777777" w:rsidTr="00AD2438">
        <w:tc>
          <w:tcPr>
            <w:tcW w:w="6791" w:type="dxa"/>
            <w:gridSpan w:val="3"/>
          </w:tcPr>
          <w:p w14:paraId="5D386E4F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0C642F4A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7A76CF6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3B003C2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310567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74D128A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065AF96A" w14:textId="77777777" w:rsidTr="00AD2438">
        <w:tc>
          <w:tcPr>
            <w:tcW w:w="6791" w:type="dxa"/>
            <w:gridSpan w:val="3"/>
          </w:tcPr>
          <w:p w14:paraId="3E31D6A7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2E2802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65AF518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14:paraId="0A79518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B3A015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B5210C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AA666C" w14:textId="77777777" w:rsidTr="00AD2438">
        <w:tc>
          <w:tcPr>
            <w:tcW w:w="6791" w:type="dxa"/>
            <w:gridSpan w:val="3"/>
          </w:tcPr>
          <w:p w14:paraId="6B1F1DCA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95E0B5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7E6D549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14:paraId="7D913DF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8021A0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3AD192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1ED247DF" w14:textId="77777777" w:rsidTr="00AD2438">
        <w:tc>
          <w:tcPr>
            <w:tcW w:w="6791" w:type="dxa"/>
            <w:gridSpan w:val="3"/>
          </w:tcPr>
          <w:p w14:paraId="0E28301A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6CA1A7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265B92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37C9497" w14:textId="77777777" w:rsidR="006847E2" w:rsidRPr="008010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14:paraId="2D5D17A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7617EB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24727E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F1F4A6F" w14:textId="77777777" w:rsidTr="00AD2438">
        <w:tc>
          <w:tcPr>
            <w:tcW w:w="9828" w:type="dxa"/>
            <w:gridSpan w:val="9"/>
          </w:tcPr>
          <w:p w14:paraId="052AAACD" w14:textId="77777777" w:rsidR="009F22C5" w:rsidRDefault="009F22C5" w:rsidP="008D2143">
            <w:pPr>
              <w:jc w:val="both"/>
              <w:rPr>
                <w:b/>
                <w:lang w:val="en-GB"/>
              </w:rPr>
            </w:pPr>
          </w:p>
          <w:p w14:paraId="041BFB06" w14:textId="770B3CDC" w:rsidR="006847E2" w:rsidRPr="00AD2438" w:rsidRDefault="00C11E00" w:rsidP="008D2143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21220E1A" w14:textId="55CFE42A" w:rsidR="00B045B7" w:rsidRDefault="009F22C5" w:rsidP="008D21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First, in two concise pages</w:t>
            </w:r>
            <w:r w:rsidR="007F7332">
              <w:rPr>
                <w:lang w:val="en-GB"/>
              </w:rPr>
              <w:t xml:space="preserve"> (</w:t>
            </w:r>
            <w:r w:rsidR="00474217">
              <w:rPr>
                <w:lang w:val="en-GB"/>
              </w:rPr>
              <w:t>13-15)</w:t>
            </w:r>
            <w:r>
              <w:rPr>
                <w:lang w:val="en-GB"/>
              </w:rPr>
              <w:t xml:space="preserve">, </w:t>
            </w:r>
            <w:r w:rsidR="00BE7A45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</w:t>
            </w:r>
            <w:r w:rsidR="007F7332">
              <w:rPr>
                <w:lang w:val="en-GB"/>
              </w:rPr>
              <w:t>thesis</w:t>
            </w:r>
            <w:r>
              <w:rPr>
                <w:lang w:val="en-GB"/>
              </w:rPr>
              <w:t xml:space="preserve"> outlines Jung’s theories o</w:t>
            </w:r>
            <w:r w:rsidR="00474217">
              <w:rPr>
                <w:lang w:val="en-GB"/>
              </w:rPr>
              <w:t>f</w:t>
            </w:r>
            <w:r>
              <w:rPr>
                <w:lang w:val="en-GB"/>
              </w:rPr>
              <w:t xml:space="preserve"> archetypes and the Collective Unconscious using well-chosen citations directly from the psycholo</w:t>
            </w:r>
            <w:r w:rsidR="007F7332">
              <w:rPr>
                <w:lang w:val="en-GB"/>
              </w:rPr>
              <w:t xml:space="preserve">gist’s works. </w:t>
            </w:r>
          </w:p>
          <w:p w14:paraId="02A090FA" w14:textId="77777777" w:rsidR="00B045B7" w:rsidRPr="00BE7A45" w:rsidRDefault="00B045B7" w:rsidP="008D2143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64DB8ED" w14:textId="2370FD98" w:rsidR="00033DE0" w:rsidRDefault="007F7332" w:rsidP="008D21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Then the BT author uses this basis in the next</w:t>
            </w:r>
            <w:r w:rsidR="00474217">
              <w:rPr>
                <w:lang w:val="en-GB"/>
              </w:rPr>
              <w:t>, more extensive</w:t>
            </w:r>
            <w:r>
              <w:rPr>
                <w:lang w:val="en-GB"/>
              </w:rPr>
              <w:t xml:space="preserve"> chapter </w:t>
            </w:r>
            <w:r w:rsidR="00474217">
              <w:rPr>
                <w:lang w:val="en-GB"/>
              </w:rPr>
              <w:t xml:space="preserve">(16-30) </w:t>
            </w:r>
            <w:r>
              <w:rPr>
                <w:lang w:val="en-GB"/>
              </w:rPr>
              <w:t xml:space="preserve">to describe the origins (Frye), theory and practice of archetypal literary criticism. </w:t>
            </w:r>
            <w:r w:rsidR="00474217">
              <w:rPr>
                <w:lang w:val="en-GB"/>
              </w:rPr>
              <w:t xml:space="preserve">Related </w:t>
            </w:r>
            <w:r w:rsidR="006E2AD5">
              <w:rPr>
                <w:lang w:val="en-GB"/>
              </w:rPr>
              <w:t>archetypical structures</w:t>
            </w:r>
            <w:r>
              <w:rPr>
                <w:lang w:val="en-GB"/>
              </w:rPr>
              <w:t xml:space="preserve"> from Joseph Campbell and Christopher Vogler are introduce</w:t>
            </w:r>
            <w:r w:rsidR="00474217">
              <w:rPr>
                <w:lang w:val="en-GB"/>
              </w:rPr>
              <w:t xml:space="preserve">d and compared, e.g. directly in a well-drawn chart </w:t>
            </w:r>
            <w:r w:rsidR="006E2AD5">
              <w:rPr>
                <w:lang w:val="en-GB"/>
              </w:rPr>
              <w:t xml:space="preserve">(19) </w:t>
            </w:r>
            <w:r w:rsidR="00474217">
              <w:rPr>
                <w:lang w:val="en-GB"/>
              </w:rPr>
              <w:t>comparing tropes from the two theorists</w:t>
            </w:r>
            <w:r w:rsidR="006E2AD5">
              <w:rPr>
                <w:lang w:val="en-GB"/>
              </w:rPr>
              <w:t>. One interesting result in this chapter is the tracing of the influence and ideas of Jung into the work of Campbell and Vogler, as well as Campbell’s</w:t>
            </w:r>
            <w:r w:rsidR="00033DE0">
              <w:rPr>
                <w:lang w:val="en-GB"/>
              </w:rPr>
              <w:t xml:space="preserve"> strong</w:t>
            </w:r>
            <w:r w:rsidR="006E2AD5">
              <w:rPr>
                <w:lang w:val="en-GB"/>
              </w:rPr>
              <w:t xml:space="preserve"> influence on Vogler. </w:t>
            </w:r>
          </w:p>
          <w:p w14:paraId="00768AB0" w14:textId="77777777" w:rsidR="00033DE0" w:rsidRPr="00BE7A45" w:rsidRDefault="00033DE0" w:rsidP="008D2143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355291D6" w14:textId="5BE0A1CF" w:rsidR="00434471" w:rsidRDefault="006E2AD5" w:rsidP="008D21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BT </w:t>
            </w:r>
            <w:r w:rsidR="004A72DB">
              <w:rPr>
                <w:lang w:val="en-GB"/>
              </w:rPr>
              <w:t>researcher</w:t>
            </w:r>
            <w:r>
              <w:rPr>
                <w:lang w:val="en-GB"/>
              </w:rPr>
              <w:t xml:space="preserve"> states </w:t>
            </w:r>
            <w:r w:rsidR="00033DE0">
              <w:rPr>
                <w:lang w:val="en-GB"/>
              </w:rPr>
              <w:t>plainly</w:t>
            </w:r>
            <w:r>
              <w:rPr>
                <w:lang w:val="en-GB"/>
              </w:rPr>
              <w:t xml:space="preserve"> that her tools for analysis are largely drawn from Vogler’s </w:t>
            </w:r>
            <w:r w:rsidRPr="006E2AD5">
              <w:rPr>
                <w:i/>
                <w:iCs/>
                <w:lang w:val="en-GB"/>
              </w:rPr>
              <w:t>The Writer’s Journey</w:t>
            </w:r>
            <w:r>
              <w:rPr>
                <w:lang w:val="en-GB"/>
              </w:rPr>
              <w:t xml:space="preserve">, although throughout the theoretical background </w:t>
            </w:r>
            <w:r w:rsidR="00B045B7">
              <w:rPr>
                <w:lang w:val="en-GB"/>
              </w:rPr>
              <w:t xml:space="preserve">as well as </w:t>
            </w:r>
            <w:r w:rsidR="00033DE0">
              <w:rPr>
                <w:lang w:val="en-GB"/>
              </w:rPr>
              <w:t xml:space="preserve">in </w:t>
            </w:r>
            <w:r w:rsidR="00B045B7">
              <w:rPr>
                <w:lang w:val="en-GB"/>
              </w:rPr>
              <w:t xml:space="preserve">the analysis she deftly </w:t>
            </w:r>
            <w:r w:rsidR="00033DE0" w:rsidRPr="00033DE0">
              <w:rPr>
                <w:lang w:val="en-GB"/>
              </w:rPr>
              <w:t>intersperses</w:t>
            </w:r>
            <w:r w:rsidR="00B045B7">
              <w:rPr>
                <w:lang w:val="en-GB"/>
              </w:rPr>
              <w:t xml:space="preserve"> the ideas of other theorists’ works (Freytag, Jung, Campbell, John Yorke’s </w:t>
            </w:r>
            <w:r w:rsidR="00B045B7" w:rsidRPr="00B045B7">
              <w:rPr>
                <w:i/>
                <w:iCs/>
                <w:lang w:val="en-GB"/>
              </w:rPr>
              <w:t>Into the Woods</w:t>
            </w:r>
            <w:r w:rsidR="00B045B7">
              <w:rPr>
                <w:lang w:val="en-GB"/>
              </w:rPr>
              <w:t xml:space="preserve">) to explain and exemplify her main points regarding myth, archetypes, and dramatic structure. </w:t>
            </w:r>
            <w:r w:rsidR="00CE75E3">
              <w:rPr>
                <w:lang w:val="en-GB"/>
              </w:rPr>
              <w:t xml:space="preserve">Tropes such as the “hero’s </w:t>
            </w:r>
            <w:r w:rsidR="00875771">
              <w:rPr>
                <w:lang w:val="en-GB"/>
              </w:rPr>
              <w:t>journey</w:t>
            </w:r>
            <w:r w:rsidR="00CE75E3">
              <w:rPr>
                <w:lang w:val="en-GB"/>
              </w:rPr>
              <w:t>” (</w:t>
            </w:r>
            <w:r w:rsidR="00875771">
              <w:rPr>
                <w:lang w:val="en-GB"/>
              </w:rPr>
              <w:t xml:space="preserve">18-19), “the departure” (20-24), “initiation” (25-25), and “return” (28-30) are explored using precise examples from many different mythical, fantasy and </w:t>
            </w:r>
            <w:proofErr w:type="spellStart"/>
            <w:r w:rsidR="00875771">
              <w:rPr>
                <w:lang w:val="en-GB"/>
              </w:rPr>
              <w:t>SciFi</w:t>
            </w:r>
            <w:proofErr w:type="spellEnd"/>
            <w:r w:rsidR="00875771">
              <w:rPr>
                <w:lang w:val="en-GB"/>
              </w:rPr>
              <w:t xml:space="preserve"> works by well-known authors such as C.S. Lewis, J.R.R. Tolkien</w:t>
            </w:r>
            <w:r w:rsidR="007C0CB6">
              <w:rPr>
                <w:lang w:val="en-GB"/>
              </w:rPr>
              <w:t xml:space="preserve">, </w:t>
            </w:r>
            <w:r w:rsidR="009B6BDF">
              <w:rPr>
                <w:lang w:val="en-GB"/>
              </w:rPr>
              <w:t>J.K</w:t>
            </w:r>
            <w:r w:rsidR="00875771">
              <w:rPr>
                <w:lang w:val="en-GB"/>
              </w:rPr>
              <w:t>.</w:t>
            </w:r>
            <w:r w:rsidR="009B6BDF">
              <w:rPr>
                <w:lang w:val="en-GB"/>
              </w:rPr>
              <w:t xml:space="preserve"> Rowling</w:t>
            </w:r>
            <w:r w:rsidR="007C0CB6">
              <w:rPr>
                <w:lang w:val="en-GB"/>
              </w:rPr>
              <w:t xml:space="preserve"> and G.R.R Martin</w:t>
            </w:r>
            <w:r w:rsidR="009B6BDF">
              <w:rPr>
                <w:lang w:val="en-GB"/>
              </w:rPr>
              <w:t xml:space="preserve">. One slight drawback may be that these examples </w:t>
            </w:r>
            <w:r w:rsidR="00BE7A45">
              <w:rPr>
                <w:lang w:val="en-GB"/>
              </w:rPr>
              <w:t>seem to be</w:t>
            </w:r>
            <w:r w:rsidR="009B6BDF">
              <w:rPr>
                <w:lang w:val="en-GB"/>
              </w:rPr>
              <w:t xml:space="preserve"> taken second-hand from other researchers, i.e.</w:t>
            </w:r>
            <w:r w:rsidR="00033DE0">
              <w:rPr>
                <w:lang w:val="en-GB"/>
              </w:rPr>
              <w:t xml:space="preserve"> </w:t>
            </w:r>
            <w:r w:rsidR="009B6BDF">
              <w:rPr>
                <w:lang w:val="en-GB"/>
              </w:rPr>
              <w:t xml:space="preserve">not </w:t>
            </w:r>
            <w:r w:rsidR="00F95C64">
              <w:rPr>
                <w:lang w:val="en-GB"/>
              </w:rPr>
              <w:t>cited from these primary works themselves</w:t>
            </w:r>
            <w:r w:rsidR="009B6BDF">
              <w:rPr>
                <w:lang w:val="en-GB"/>
              </w:rPr>
              <w:t xml:space="preserve">. Indeed the bibliography, which is very short, contains no works of </w:t>
            </w:r>
            <w:r w:rsidR="004A72DB">
              <w:rPr>
                <w:lang w:val="en-GB"/>
              </w:rPr>
              <w:t xml:space="preserve">primary </w:t>
            </w:r>
            <w:r w:rsidR="009B6BDF">
              <w:rPr>
                <w:lang w:val="en-GB"/>
              </w:rPr>
              <w:t xml:space="preserve">literature such as </w:t>
            </w:r>
            <w:r w:rsidR="00033DE0">
              <w:rPr>
                <w:lang w:val="en-GB"/>
              </w:rPr>
              <w:t xml:space="preserve">fiction </w:t>
            </w:r>
            <w:r w:rsidR="009B6BDF">
              <w:rPr>
                <w:lang w:val="en-GB"/>
              </w:rPr>
              <w:t xml:space="preserve">by the </w:t>
            </w:r>
            <w:r w:rsidR="007C0CB6">
              <w:rPr>
                <w:lang w:val="en-GB"/>
              </w:rPr>
              <w:t>four</w:t>
            </w:r>
            <w:r w:rsidR="009B6BDF">
              <w:rPr>
                <w:lang w:val="en-GB"/>
              </w:rPr>
              <w:t xml:space="preserve"> authors mentioned above (although of course the works by Campbell and Jung may be considered </w:t>
            </w:r>
            <w:r w:rsidR="00033DE0">
              <w:rPr>
                <w:lang w:val="en-GB"/>
              </w:rPr>
              <w:t>“literary”</w:t>
            </w:r>
            <w:r w:rsidR="009B6BDF">
              <w:rPr>
                <w:lang w:val="en-GB"/>
              </w:rPr>
              <w:t xml:space="preserve">). </w:t>
            </w:r>
            <w:r w:rsidR="00033DE0">
              <w:rPr>
                <w:lang w:val="en-GB"/>
              </w:rPr>
              <w:t>Not citing fiction directly is</w:t>
            </w:r>
            <w:r w:rsidR="009B6BDF">
              <w:rPr>
                <w:lang w:val="en-GB"/>
              </w:rPr>
              <w:t xml:space="preserve"> a pity, because in consultations with the BT author it is clear that she has read and </w:t>
            </w:r>
            <w:r w:rsidR="00C544B2">
              <w:rPr>
                <w:lang w:val="en-GB"/>
              </w:rPr>
              <w:t xml:space="preserve">is </w:t>
            </w:r>
            <w:r w:rsidR="009B6BDF">
              <w:rPr>
                <w:lang w:val="en-GB"/>
              </w:rPr>
              <w:t xml:space="preserve">familiar with many works of fantasy literature </w:t>
            </w:r>
            <w:r w:rsidR="00C544B2">
              <w:rPr>
                <w:lang w:val="en-GB"/>
              </w:rPr>
              <w:t>written by these authors and others</w:t>
            </w:r>
            <w:r w:rsidR="007C0CB6">
              <w:rPr>
                <w:lang w:val="en-GB"/>
              </w:rPr>
              <w:t xml:space="preserve">, for example other fiction by Martin </w:t>
            </w:r>
            <w:r w:rsidR="00F95C64">
              <w:rPr>
                <w:lang w:val="en-GB"/>
              </w:rPr>
              <w:t>in addition to</w:t>
            </w:r>
            <w:r w:rsidR="007C0CB6">
              <w:rPr>
                <w:lang w:val="en-GB"/>
              </w:rPr>
              <w:t xml:space="preserve"> the </w:t>
            </w:r>
            <w:r w:rsidR="007C0CB6" w:rsidRPr="007C0CB6">
              <w:rPr>
                <w:i/>
                <w:iCs/>
                <w:lang w:val="en-GB"/>
              </w:rPr>
              <w:t>A Song of Ice and Fire</w:t>
            </w:r>
            <w:r w:rsidR="007C0CB6">
              <w:rPr>
                <w:lang w:val="en-GB"/>
              </w:rPr>
              <w:t xml:space="preserve"> </w:t>
            </w:r>
            <w:r w:rsidR="00D87A5A">
              <w:rPr>
                <w:lang w:val="en-GB"/>
              </w:rPr>
              <w:t xml:space="preserve">series, which itself </w:t>
            </w:r>
            <w:r w:rsidR="007C0CB6">
              <w:rPr>
                <w:lang w:val="en-GB"/>
              </w:rPr>
              <w:t>is mentioned several times, e.g. on page 34</w:t>
            </w:r>
            <w:r w:rsidR="009B6BDF">
              <w:rPr>
                <w:lang w:val="en-GB"/>
              </w:rPr>
              <w:t>.</w:t>
            </w:r>
          </w:p>
          <w:p w14:paraId="536045C1" w14:textId="2F60CC2A" w:rsidR="00BD4956" w:rsidRPr="00BE7A45" w:rsidRDefault="00BD4956" w:rsidP="008D2143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2F8532F0" w14:textId="0272D7BE" w:rsidR="00BD4956" w:rsidRPr="00ED2EB6" w:rsidRDefault="00BD4956" w:rsidP="008D21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anal</w:t>
            </w:r>
            <w:r w:rsidR="007C0CB6">
              <w:rPr>
                <w:lang w:val="en-GB"/>
              </w:rPr>
              <w:t xml:space="preserve">ytical chapters use all the tropes and tools the BT author has defined in the background to </w:t>
            </w:r>
            <w:r w:rsidR="006B742A">
              <w:rPr>
                <w:lang w:val="en-GB"/>
              </w:rPr>
              <w:t xml:space="preserve">examine the “middle part” of the of the </w:t>
            </w:r>
            <w:r w:rsidR="006B742A" w:rsidRPr="006B742A">
              <w:rPr>
                <w:i/>
                <w:iCs/>
                <w:lang w:val="en-GB"/>
              </w:rPr>
              <w:t>Star Wars</w:t>
            </w:r>
            <w:r w:rsidR="006B742A">
              <w:rPr>
                <w:lang w:val="en-GB"/>
              </w:rPr>
              <w:t xml:space="preserve"> monomyth which is presented in the first three films released chronologically. She cites the great influence of Campbell on George Lucas using the well-known interview of the director with </w:t>
            </w:r>
            <w:r w:rsidR="0059673F">
              <w:rPr>
                <w:lang w:val="en-GB"/>
              </w:rPr>
              <w:t xml:space="preserve">journalist </w:t>
            </w:r>
            <w:r w:rsidR="006B742A">
              <w:rPr>
                <w:lang w:val="en-GB"/>
              </w:rPr>
              <w:t xml:space="preserve">Bill Moyers in which the filmmaker states </w:t>
            </w:r>
            <w:r w:rsidR="0059673F" w:rsidRPr="0059673F">
              <w:rPr>
                <w:lang w:val="en-GB"/>
              </w:rPr>
              <w:lastRenderedPageBreak/>
              <w:t>unequivocally</w:t>
            </w:r>
            <w:r w:rsidR="0059673F">
              <w:rPr>
                <w:lang w:val="en-GB"/>
              </w:rPr>
              <w:t xml:space="preserve"> </w:t>
            </w:r>
            <w:r w:rsidR="006B742A">
              <w:rPr>
                <w:lang w:val="en-GB"/>
              </w:rPr>
              <w:t xml:space="preserve">that he used Campbell’s </w:t>
            </w:r>
            <w:r w:rsidR="006B742A" w:rsidRPr="00ED2EB6">
              <w:rPr>
                <w:i/>
                <w:iCs/>
                <w:lang w:val="en-GB"/>
              </w:rPr>
              <w:t xml:space="preserve">Hero with </w:t>
            </w:r>
            <w:r w:rsidR="00ED2EB6" w:rsidRPr="00ED2EB6">
              <w:rPr>
                <w:i/>
                <w:iCs/>
                <w:lang w:val="en-GB"/>
              </w:rPr>
              <w:t>a Thousand Faces</w:t>
            </w:r>
            <w:r w:rsidR="00ED2EB6">
              <w:rPr>
                <w:i/>
                <w:iCs/>
                <w:lang w:val="en-GB"/>
              </w:rPr>
              <w:t xml:space="preserve"> </w:t>
            </w:r>
            <w:r w:rsidR="00ED2EB6" w:rsidRPr="00ED2EB6">
              <w:rPr>
                <w:lang w:val="en-GB"/>
              </w:rPr>
              <w:t>as a template</w:t>
            </w:r>
            <w:r w:rsidR="00ED2EB6">
              <w:rPr>
                <w:lang w:val="en-GB"/>
              </w:rPr>
              <w:t xml:space="preserve"> for the entire </w:t>
            </w:r>
            <w:r w:rsidR="00ED2EB6" w:rsidRPr="00ED2EB6">
              <w:rPr>
                <w:i/>
                <w:iCs/>
                <w:lang w:val="en-GB"/>
              </w:rPr>
              <w:t>Star Wars</w:t>
            </w:r>
            <w:r w:rsidR="00ED2EB6">
              <w:rPr>
                <w:lang w:val="en-GB"/>
              </w:rPr>
              <w:t xml:space="preserve"> saga, a mythological track that remained in place until Disney bought the franchise from Lucas in 2012. (Lucas was eventually </w:t>
            </w:r>
            <w:r w:rsidR="007226AB">
              <w:rPr>
                <w:lang w:val="en-GB"/>
              </w:rPr>
              <w:t>pushed out alto</w:t>
            </w:r>
            <w:r w:rsidR="008D6B42">
              <w:rPr>
                <w:lang w:val="en-GB"/>
              </w:rPr>
              <w:t>gether</w:t>
            </w:r>
            <w:r w:rsidR="00ED2EB6">
              <w:rPr>
                <w:lang w:val="en-GB"/>
              </w:rPr>
              <w:t xml:space="preserve"> from the series and not even invited to the world premiere of </w:t>
            </w:r>
            <w:r w:rsidR="00ED2EB6" w:rsidRPr="00ED2EB6">
              <w:rPr>
                <w:i/>
                <w:iCs/>
                <w:lang w:val="en-GB"/>
              </w:rPr>
              <w:t>The Rise of Skywalker</w:t>
            </w:r>
            <w:r w:rsidR="007226AB">
              <w:rPr>
                <w:i/>
                <w:iCs/>
                <w:lang w:val="en-GB"/>
              </w:rPr>
              <w:t xml:space="preserve"> </w:t>
            </w:r>
            <w:r w:rsidR="007226AB" w:rsidRPr="007226AB">
              <w:rPr>
                <w:lang w:val="en-GB"/>
              </w:rPr>
              <w:t>[2019</w:t>
            </w:r>
            <w:r w:rsidR="007226AB">
              <w:rPr>
                <w:lang w:val="en-GB"/>
              </w:rPr>
              <w:t>]</w:t>
            </w:r>
            <w:r w:rsidR="004A72DB">
              <w:rPr>
                <w:lang w:val="en-GB"/>
              </w:rPr>
              <w:t xml:space="preserve">, </w:t>
            </w:r>
            <w:r w:rsidR="004A72DB">
              <w:rPr>
                <w:lang w:val="en-GB"/>
              </w:rPr>
              <w:t xml:space="preserve">the latest </w:t>
            </w:r>
            <w:r w:rsidR="004A72DB" w:rsidRPr="007226AB">
              <w:rPr>
                <w:i/>
                <w:iCs/>
                <w:lang w:val="en-GB"/>
              </w:rPr>
              <w:t>SW</w:t>
            </w:r>
            <w:r w:rsidR="004A72DB">
              <w:rPr>
                <w:lang w:val="en-GB"/>
              </w:rPr>
              <w:t xml:space="preserve"> film released</w:t>
            </w:r>
            <w:r w:rsidR="00ED2EB6">
              <w:rPr>
                <w:lang w:val="en-GB"/>
              </w:rPr>
              <w:t>.)</w:t>
            </w:r>
            <w:r w:rsidR="004A72DB">
              <w:rPr>
                <w:lang w:val="en-GB"/>
              </w:rPr>
              <w:t xml:space="preserve"> </w:t>
            </w:r>
            <w:r w:rsidR="00906386">
              <w:rPr>
                <w:lang w:val="en-GB"/>
              </w:rPr>
              <w:t>Again, t</w:t>
            </w:r>
            <w:r w:rsidR="00ED2EB6">
              <w:rPr>
                <w:lang w:val="en-GB"/>
              </w:rPr>
              <w:t xml:space="preserve">he BT author uses examples </w:t>
            </w:r>
            <w:r w:rsidR="00906386">
              <w:rPr>
                <w:lang w:val="en-GB"/>
              </w:rPr>
              <w:t xml:space="preserve">from other </w:t>
            </w:r>
            <w:proofErr w:type="spellStart"/>
            <w:r w:rsidR="00906386">
              <w:rPr>
                <w:lang w:val="en-GB"/>
              </w:rPr>
              <w:t>SciFi</w:t>
            </w:r>
            <w:proofErr w:type="spellEnd"/>
            <w:r w:rsidR="00906386">
              <w:rPr>
                <w:lang w:val="en-GB"/>
              </w:rPr>
              <w:t xml:space="preserve"> and fantasy works</w:t>
            </w:r>
            <w:r w:rsidR="008D6B42">
              <w:rPr>
                <w:lang w:val="en-GB"/>
              </w:rPr>
              <w:t xml:space="preserve">, </w:t>
            </w:r>
            <w:r w:rsidR="00906386">
              <w:rPr>
                <w:lang w:val="en-GB"/>
              </w:rPr>
              <w:t>mainly by the authors mentioned above, but pages from works are not mentioned and, once again, the books are not listed in the bibliography.</w:t>
            </w:r>
            <w:r w:rsidR="0059673F">
              <w:rPr>
                <w:lang w:val="en-GB"/>
              </w:rPr>
              <w:t xml:space="preserve"> </w:t>
            </w:r>
            <w:r w:rsidR="000643E0">
              <w:rPr>
                <w:lang w:val="en-GB"/>
              </w:rPr>
              <w:t>These chapters are organized in terms of archetypical tropes (Chapters 5, 6, 7) and characters (8). I</w:t>
            </w:r>
            <w:r w:rsidR="0059673F">
              <w:rPr>
                <w:lang w:val="en-GB"/>
              </w:rPr>
              <w:t xml:space="preserve">n terms of events, symbols and characters, direct correlations to literary works </w:t>
            </w:r>
            <w:r w:rsidR="004A72DB">
              <w:rPr>
                <w:lang w:val="en-GB"/>
              </w:rPr>
              <w:t>and</w:t>
            </w:r>
            <w:r w:rsidR="000643E0">
              <w:rPr>
                <w:lang w:val="en-GB"/>
              </w:rPr>
              <w:t xml:space="preserve"> other films </w:t>
            </w:r>
            <w:r w:rsidR="004A72DB">
              <w:rPr>
                <w:lang w:val="en-GB"/>
              </w:rPr>
              <w:t xml:space="preserve">are </w:t>
            </w:r>
            <w:r w:rsidR="008B2E43">
              <w:rPr>
                <w:lang w:val="en-GB"/>
              </w:rPr>
              <w:t xml:space="preserve">certainly </w:t>
            </w:r>
            <w:r w:rsidR="004A72DB">
              <w:rPr>
                <w:lang w:val="en-GB"/>
              </w:rPr>
              <w:t xml:space="preserve">present, but even more </w:t>
            </w:r>
            <w:r w:rsidR="0059673F">
              <w:rPr>
                <w:lang w:val="en-GB"/>
              </w:rPr>
              <w:t>would have lent the analysis more gravitas.</w:t>
            </w:r>
            <w:r w:rsidR="00F95C64">
              <w:rPr>
                <w:lang w:val="en-GB"/>
              </w:rPr>
              <w:t xml:space="preserve"> </w:t>
            </w:r>
          </w:p>
          <w:p w14:paraId="2811D3F9" w14:textId="77777777" w:rsidR="00434471" w:rsidRPr="00BE7A45" w:rsidRDefault="00434471" w:rsidP="008D2143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4079D3D2" w14:textId="4764DF66" w:rsidR="006847E2" w:rsidRDefault="0059673F" w:rsidP="008D21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Still, </w:t>
            </w:r>
            <w:r w:rsidR="007226AB">
              <w:rPr>
                <w:lang w:val="en-GB"/>
              </w:rPr>
              <w:t xml:space="preserve">although the conclusion (64) is </w:t>
            </w:r>
            <w:r w:rsidR="000643E0">
              <w:rPr>
                <w:lang w:val="en-GB"/>
              </w:rPr>
              <w:t xml:space="preserve">short and </w:t>
            </w:r>
            <w:r w:rsidR="007226AB">
              <w:rPr>
                <w:lang w:val="en-GB"/>
              </w:rPr>
              <w:t xml:space="preserve">weak in terms of </w:t>
            </w:r>
            <w:r w:rsidR="000643E0">
              <w:rPr>
                <w:lang w:val="en-GB"/>
              </w:rPr>
              <w:t>summarizing</w:t>
            </w:r>
            <w:r w:rsidR="007226AB">
              <w:rPr>
                <w:lang w:val="en-GB"/>
              </w:rPr>
              <w:t xml:space="preserve"> the main points made in the analysis, </w:t>
            </w:r>
            <w:r>
              <w:rPr>
                <w:lang w:val="en-GB"/>
              </w:rPr>
              <w:t xml:space="preserve">the BT </w:t>
            </w:r>
            <w:r w:rsidR="007226AB">
              <w:rPr>
                <w:lang w:val="en-GB"/>
              </w:rPr>
              <w:t xml:space="preserve">in general </w:t>
            </w:r>
            <w:r>
              <w:rPr>
                <w:lang w:val="en-GB"/>
              </w:rPr>
              <w:t xml:space="preserve">is supported </w:t>
            </w:r>
            <w:r w:rsidR="000643E0">
              <w:rPr>
                <w:lang w:val="en-GB"/>
              </w:rPr>
              <w:t xml:space="preserve">by </w:t>
            </w:r>
            <w:r>
              <w:rPr>
                <w:lang w:val="en-GB"/>
              </w:rPr>
              <w:t xml:space="preserve">a </w:t>
            </w:r>
            <w:r w:rsidR="007226AB">
              <w:rPr>
                <w:lang w:val="en-GB"/>
              </w:rPr>
              <w:t>solid</w:t>
            </w:r>
            <w:r>
              <w:rPr>
                <w:lang w:val="en-GB"/>
              </w:rPr>
              <w:t xml:space="preserve"> structure. </w:t>
            </w:r>
            <w:r w:rsidR="00B045B7">
              <w:rPr>
                <w:lang w:val="en-GB"/>
              </w:rPr>
              <w:t xml:space="preserve">One of </w:t>
            </w:r>
            <w:r w:rsidR="00434471">
              <w:rPr>
                <w:lang w:val="en-GB"/>
              </w:rPr>
              <w:t>the</w:t>
            </w:r>
            <w:r w:rsidR="00B045B7">
              <w:rPr>
                <w:lang w:val="en-GB"/>
              </w:rPr>
              <w:t xml:space="preserve"> main </w:t>
            </w:r>
            <w:r w:rsidR="007226AB">
              <w:rPr>
                <w:lang w:val="en-GB"/>
              </w:rPr>
              <w:t>through-lines</w:t>
            </w:r>
            <w:r w:rsidR="00B045B7">
              <w:rPr>
                <w:lang w:val="en-GB"/>
              </w:rPr>
              <w:t xml:space="preserve"> </w:t>
            </w:r>
            <w:r>
              <w:rPr>
                <w:lang w:val="en-GB"/>
              </w:rPr>
              <w:t>running</w:t>
            </w:r>
            <w:r w:rsidR="00434471">
              <w:rPr>
                <w:lang w:val="en-GB"/>
              </w:rPr>
              <w:t xml:space="preserve"> throughout the BT </w:t>
            </w:r>
            <w:r w:rsidR="00B045B7">
              <w:rPr>
                <w:lang w:val="en-GB"/>
              </w:rPr>
              <w:t>is</w:t>
            </w:r>
            <w:r w:rsidR="00434471">
              <w:rPr>
                <w:lang w:val="en-GB"/>
              </w:rPr>
              <w:t xml:space="preserve"> the timelessness and iterability of archetypical stories, i.e. if the reader / viewer understands the </w:t>
            </w:r>
            <w:r w:rsidR="004B2DBF">
              <w:rPr>
                <w:lang w:val="en-GB"/>
              </w:rPr>
              <w:t xml:space="preserve">significance of the </w:t>
            </w:r>
            <w:r w:rsidR="00434471">
              <w:rPr>
                <w:lang w:val="en-GB"/>
              </w:rPr>
              <w:t xml:space="preserve">types involved </w:t>
            </w:r>
            <w:r w:rsidR="004B2DBF">
              <w:rPr>
                <w:lang w:val="en-GB"/>
              </w:rPr>
              <w:t xml:space="preserve">this </w:t>
            </w:r>
            <w:r w:rsidR="00434471">
              <w:rPr>
                <w:lang w:val="en-GB"/>
              </w:rPr>
              <w:t xml:space="preserve">“provides a better understanding of the artwork as well as make[s] the experience more enjoyable.” (11) </w:t>
            </w:r>
            <w:r w:rsidR="008B2E43">
              <w:rPr>
                <w:lang w:val="en-GB"/>
              </w:rPr>
              <w:t xml:space="preserve">Yet even without analytical identification of the types within a story, the viewer / reader senses a deeper significance, hence the timelessness of certain structures. </w:t>
            </w:r>
            <w:r w:rsidR="00434471">
              <w:rPr>
                <w:lang w:val="en-GB"/>
              </w:rPr>
              <w:t>This sentiment is</w:t>
            </w:r>
            <w:r w:rsidR="00B045B7">
              <w:rPr>
                <w:lang w:val="en-GB"/>
              </w:rPr>
              <w:t xml:space="preserve"> summ</w:t>
            </w:r>
            <w:r w:rsidR="00434471">
              <w:rPr>
                <w:lang w:val="en-GB"/>
              </w:rPr>
              <w:t xml:space="preserve">arized in the </w:t>
            </w:r>
            <w:r w:rsidR="00CE75E3">
              <w:rPr>
                <w:lang w:val="en-GB"/>
              </w:rPr>
              <w:t xml:space="preserve">quote by Campbell that opens the thesis regarding “the shape-shifting yet marvellously consistent story that we find” (10) in </w:t>
            </w:r>
            <w:r w:rsidR="00BE1A17">
              <w:rPr>
                <w:lang w:val="en-GB"/>
              </w:rPr>
              <w:t xml:space="preserve">so many </w:t>
            </w:r>
            <w:r w:rsidR="00CE75E3">
              <w:rPr>
                <w:lang w:val="en-GB"/>
              </w:rPr>
              <w:t xml:space="preserve">myths and fairy tales, and, as the BT author makes clear, also in the best fantasy and </w:t>
            </w:r>
            <w:proofErr w:type="spellStart"/>
            <w:r w:rsidR="00CE75E3">
              <w:rPr>
                <w:lang w:val="en-GB"/>
              </w:rPr>
              <w:t>SciFi</w:t>
            </w:r>
            <w:proofErr w:type="spellEnd"/>
            <w:r w:rsidR="00CE75E3">
              <w:rPr>
                <w:lang w:val="en-GB"/>
              </w:rPr>
              <w:t xml:space="preserve"> stories and films. </w:t>
            </w:r>
          </w:p>
          <w:p w14:paraId="142EC4EA" w14:textId="2825F5BC" w:rsidR="00BD4956" w:rsidRPr="00BE7A45" w:rsidRDefault="00BD4956" w:rsidP="008D2143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40345FE8" w14:textId="5F9AE26D" w:rsidR="006847E2" w:rsidRPr="00AD2438" w:rsidRDefault="00BD4956" w:rsidP="008D21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This is a strong work in terms of research, ideas and results, and the BT author is to be congratulated on her efforts.</w:t>
            </w:r>
          </w:p>
          <w:p w14:paraId="34501415" w14:textId="77777777" w:rsidR="006847E2" w:rsidRPr="00BE7A45" w:rsidRDefault="006847E2" w:rsidP="008D2143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6847E2" w:rsidRPr="00AD2438" w14:paraId="20EC6760" w14:textId="77777777" w:rsidTr="00AD2438">
        <w:tc>
          <w:tcPr>
            <w:tcW w:w="9828" w:type="dxa"/>
            <w:gridSpan w:val="9"/>
          </w:tcPr>
          <w:p w14:paraId="6E77783C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lastRenderedPageBreak/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784C95FF" w14:textId="3678B368" w:rsidR="006847E2" w:rsidRDefault="004B2DBF" w:rsidP="008D2143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Compared to the </w:t>
            </w:r>
            <w:r w:rsidR="008D2143">
              <w:rPr>
                <w:lang w:val="en-GB"/>
              </w:rPr>
              <w:t>ground-breaking</w:t>
            </w:r>
            <w:r>
              <w:rPr>
                <w:lang w:val="en-GB"/>
              </w:rPr>
              <w:t xml:space="preserve"> financial success of the first three films in the franchise, </w:t>
            </w:r>
            <w:r w:rsidR="000643E0">
              <w:rPr>
                <w:lang w:val="en-GB"/>
              </w:rPr>
              <w:t xml:space="preserve">and relative success when the series was resumed with </w:t>
            </w:r>
            <w:r w:rsidR="000643E0" w:rsidRPr="00BC15CA">
              <w:rPr>
                <w:i/>
                <w:iCs/>
                <w:lang w:val="en-GB"/>
              </w:rPr>
              <w:t>The Phantom Menace</w:t>
            </w:r>
            <w:r w:rsidR="000643E0">
              <w:rPr>
                <w:lang w:val="en-GB"/>
              </w:rPr>
              <w:t xml:space="preserve"> (</w:t>
            </w:r>
            <w:r w:rsidR="00BC15CA">
              <w:rPr>
                <w:lang w:val="en-GB"/>
              </w:rPr>
              <w:t xml:space="preserve">1999), </w:t>
            </w:r>
            <w:r>
              <w:rPr>
                <w:lang w:val="en-GB"/>
              </w:rPr>
              <w:t xml:space="preserve">recent </w:t>
            </w:r>
            <w:r w:rsidRPr="004B2DBF">
              <w:rPr>
                <w:i/>
                <w:iCs/>
                <w:lang w:val="en-GB"/>
              </w:rPr>
              <w:t>Star Wars</w:t>
            </w:r>
            <w:r>
              <w:rPr>
                <w:lang w:val="en-GB"/>
              </w:rPr>
              <w:t xml:space="preserve"> films have not done as well at the box office. Can you identify any </w:t>
            </w:r>
            <w:r w:rsidR="008D2143">
              <w:rPr>
                <w:lang w:val="en-GB"/>
              </w:rPr>
              <w:t xml:space="preserve">possible reasons audiences have not responded as strongly to these films, e.g. in terms of the </w:t>
            </w:r>
            <w:r w:rsidR="00941FAD">
              <w:rPr>
                <w:lang w:val="en-GB"/>
              </w:rPr>
              <w:t xml:space="preserve">transgression or </w:t>
            </w:r>
            <w:r w:rsidR="008D2143">
              <w:rPr>
                <w:lang w:val="en-GB"/>
              </w:rPr>
              <w:t xml:space="preserve">abandonment of eternal archetypes? Give a few examples from any of the films released after the first three </w:t>
            </w:r>
            <w:r w:rsidR="008D2143" w:rsidRPr="008D2143">
              <w:rPr>
                <w:i/>
                <w:iCs/>
                <w:lang w:val="en-GB"/>
              </w:rPr>
              <w:t>Star Wars</w:t>
            </w:r>
            <w:r w:rsidR="008D2143">
              <w:rPr>
                <w:lang w:val="en-GB"/>
              </w:rPr>
              <w:t xml:space="preserve"> films. </w:t>
            </w:r>
          </w:p>
          <w:p w14:paraId="6234C885" w14:textId="3F95F7D9" w:rsidR="006847E2" w:rsidRPr="0097202C" w:rsidRDefault="0097202C" w:rsidP="00CE42AE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97202C">
              <w:rPr>
                <w:lang w:val="en-GB"/>
              </w:rPr>
              <w:t>C</w:t>
            </w:r>
            <w:r w:rsidR="00BC15CA" w:rsidRPr="0097202C">
              <w:rPr>
                <w:lang w:val="en-GB"/>
              </w:rPr>
              <w:t>an you name any</w:t>
            </w:r>
            <w:r w:rsidR="008D6B42" w:rsidRPr="0097202C">
              <w:rPr>
                <w:lang w:val="en-GB"/>
              </w:rPr>
              <w:t xml:space="preserve"> </w:t>
            </w:r>
            <w:r w:rsidRPr="0097202C">
              <w:rPr>
                <w:lang w:val="en-GB"/>
              </w:rPr>
              <w:t>of the archetypical tropes that you described which</w:t>
            </w:r>
            <w:r w:rsidR="008D6B42" w:rsidRPr="0097202C">
              <w:rPr>
                <w:lang w:val="en-GB"/>
              </w:rPr>
              <w:t xml:space="preserve"> are featured in other (more or less) recent fantasy or </w:t>
            </w:r>
            <w:proofErr w:type="spellStart"/>
            <w:r w:rsidR="008D6B42" w:rsidRPr="0097202C">
              <w:rPr>
                <w:lang w:val="en-GB"/>
              </w:rPr>
              <w:t>SciFi</w:t>
            </w:r>
            <w:proofErr w:type="spellEnd"/>
            <w:r w:rsidR="008D6B42" w:rsidRPr="0097202C">
              <w:rPr>
                <w:lang w:val="en-GB"/>
              </w:rPr>
              <w:t xml:space="preserve"> films or TV series? </w:t>
            </w:r>
            <w:r w:rsidR="00BE1A17" w:rsidRPr="0097202C">
              <w:rPr>
                <w:lang w:val="en-GB"/>
              </w:rPr>
              <w:t>You can choose</w:t>
            </w:r>
            <w:r w:rsidR="008D6B42" w:rsidRPr="0097202C">
              <w:rPr>
                <w:lang w:val="en-GB"/>
              </w:rPr>
              <w:t xml:space="preserve"> </w:t>
            </w:r>
            <w:r w:rsidR="00BC15CA" w:rsidRPr="0097202C">
              <w:rPr>
                <w:lang w:val="en-GB"/>
              </w:rPr>
              <w:t>events or characters</w:t>
            </w:r>
            <w:r w:rsidR="00BE1A17" w:rsidRPr="0097202C">
              <w:rPr>
                <w:lang w:val="en-GB"/>
              </w:rPr>
              <w:t xml:space="preserve"> </w:t>
            </w:r>
            <w:r w:rsidR="008D6B42" w:rsidRPr="0097202C">
              <w:rPr>
                <w:lang w:val="en-GB"/>
              </w:rPr>
              <w:t xml:space="preserve">used in a similar way as in </w:t>
            </w:r>
            <w:r w:rsidR="008D6B42" w:rsidRPr="0097202C">
              <w:rPr>
                <w:i/>
                <w:iCs/>
                <w:lang w:val="en-GB"/>
              </w:rPr>
              <w:t>Star Wars</w:t>
            </w:r>
            <w:r w:rsidR="008D6B42" w:rsidRPr="0097202C">
              <w:rPr>
                <w:lang w:val="en-GB"/>
              </w:rPr>
              <w:t>, or in a different way</w:t>
            </w:r>
            <w:r w:rsidR="00BE1A17" w:rsidRPr="0097202C">
              <w:rPr>
                <w:lang w:val="en-GB"/>
              </w:rPr>
              <w:t xml:space="preserve"> altogether</w:t>
            </w:r>
            <w:r w:rsidR="008D6B42" w:rsidRPr="0097202C">
              <w:rPr>
                <w:lang w:val="en-GB"/>
              </w:rPr>
              <w:t>.</w:t>
            </w:r>
          </w:p>
          <w:p w14:paraId="1DFD7E8B" w14:textId="77777777" w:rsidR="006847E2" w:rsidRPr="00941FAD" w:rsidRDefault="006847E2" w:rsidP="00362AB0">
            <w:pPr>
              <w:rPr>
                <w:sz w:val="12"/>
                <w:szCs w:val="12"/>
                <w:lang w:val="en-GB"/>
              </w:rPr>
            </w:pPr>
          </w:p>
        </w:tc>
      </w:tr>
      <w:tr w:rsidR="005C35C4" w:rsidRPr="00AD2438" w14:paraId="35F3D350" w14:textId="77777777" w:rsidTr="00AD2438">
        <w:tc>
          <w:tcPr>
            <w:tcW w:w="9828" w:type="dxa"/>
            <w:gridSpan w:val="9"/>
          </w:tcPr>
          <w:p w14:paraId="28468F4A" w14:textId="2DC45238" w:rsidR="005C35C4" w:rsidRPr="0030066B" w:rsidRDefault="005C35C4" w:rsidP="005C35C4">
            <w:pPr>
              <w:rPr>
                <w:b/>
                <w:lang w:val="en-GB"/>
              </w:rPr>
            </w:pPr>
            <w:bookmarkStart w:id="0" w:name="_Hlk40788189"/>
            <w:r w:rsidRPr="0030066B">
              <w:rPr>
                <w:b/>
                <w:lang w:val="en-GB"/>
              </w:rPr>
              <w:t xml:space="preserve">The work </w:t>
            </w:r>
            <w:r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 xml:space="preserve">with the result of </w:t>
            </w:r>
            <w:r>
              <w:rPr>
                <w:b/>
                <w:u w:val="single"/>
                <w:lang w:val="en-GB"/>
              </w:rPr>
              <w:t>negative</w:t>
            </w:r>
            <w:r w:rsidRPr="0030066B">
              <w:rPr>
                <w:b/>
                <w:lang w:val="en-GB"/>
              </w:rPr>
              <w:t>.*</w:t>
            </w:r>
            <w:bookmarkEnd w:id="0"/>
          </w:p>
        </w:tc>
      </w:tr>
      <w:tr w:rsidR="005C35C4" w:rsidRPr="00AD2438" w14:paraId="6956A5B1" w14:textId="77777777" w:rsidTr="00AD2438">
        <w:tc>
          <w:tcPr>
            <w:tcW w:w="6791" w:type="dxa"/>
            <w:gridSpan w:val="3"/>
          </w:tcPr>
          <w:p w14:paraId="65FE7E33" w14:textId="77777777" w:rsidR="005C35C4" w:rsidRPr="00AD2438" w:rsidRDefault="005C35C4" w:rsidP="005C35C4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6F3C5812" w14:textId="77777777" w:rsidR="005C35C4" w:rsidRPr="00AD2438" w:rsidRDefault="005C35C4" w:rsidP="005C35C4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90B99CE" w14:textId="77777777" w:rsidR="005C35C4" w:rsidRPr="008010F6" w:rsidRDefault="005C35C4" w:rsidP="005C35C4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010F6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4D1869FF" w14:textId="77777777" w:rsidR="005C35C4" w:rsidRPr="00AD2438" w:rsidRDefault="005C35C4" w:rsidP="005C35C4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CA746B6" w14:textId="77777777" w:rsidR="005C35C4" w:rsidRPr="00AD2438" w:rsidRDefault="005C35C4" w:rsidP="005C35C4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78507D3E" w14:textId="77777777" w:rsidR="005C35C4" w:rsidRPr="00AD2438" w:rsidRDefault="005C35C4" w:rsidP="005C35C4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2E1BE84" w14:textId="77777777" w:rsidR="005C35C4" w:rsidRPr="00AD2438" w:rsidRDefault="005C35C4" w:rsidP="005C35C4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5C35C4" w:rsidRPr="00AD2438" w14:paraId="0BED54E4" w14:textId="77777777" w:rsidTr="00AD2438">
        <w:tc>
          <w:tcPr>
            <w:tcW w:w="4068" w:type="dxa"/>
            <w:gridSpan w:val="2"/>
            <w:vAlign w:val="center"/>
          </w:tcPr>
          <w:p w14:paraId="3C1F6C0A" w14:textId="725CE4ED" w:rsidR="005C35C4" w:rsidRPr="00AD2438" w:rsidRDefault="005C35C4" w:rsidP="005C35C4">
            <w:pPr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>
              <w:rPr>
                <w:lang w:val="en-GB"/>
              </w:rPr>
              <w:t xml:space="preserve"> 20.5.2020</w:t>
            </w:r>
          </w:p>
        </w:tc>
        <w:tc>
          <w:tcPr>
            <w:tcW w:w="5760" w:type="dxa"/>
            <w:gridSpan w:val="7"/>
            <w:vAlign w:val="center"/>
          </w:tcPr>
          <w:p w14:paraId="1C809553" w14:textId="77777777" w:rsidR="005C35C4" w:rsidRPr="00AD2438" w:rsidRDefault="005C35C4" w:rsidP="005C35C4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Signature:</w:t>
            </w:r>
          </w:p>
        </w:tc>
      </w:tr>
    </w:tbl>
    <w:p w14:paraId="2ADE6A19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86885" w14:textId="77777777" w:rsidR="00AC7F44" w:rsidRDefault="00AC7F44">
      <w:r>
        <w:separator/>
      </w:r>
    </w:p>
  </w:endnote>
  <w:endnote w:type="continuationSeparator" w:id="0">
    <w:p w14:paraId="7C2734F3" w14:textId="77777777" w:rsidR="00AC7F44" w:rsidRDefault="00AC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60572" w14:textId="77777777" w:rsidR="00AC7F44" w:rsidRDefault="00AC7F44">
      <w:r>
        <w:separator/>
      </w:r>
    </w:p>
  </w:footnote>
  <w:footnote w:type="continuationSeparator" w:id="0">
    <w:p w14:paraId="77D2B5D2" w14:textId="77777777" w:rsidR="00AC7F44" w:rsidRDefault="00AC7F44">
      <w:r>
        <w:continuationSeparator/>
      </w:r>
    </w:p>
  </w:footnote>
  <w:footnote w:id="1">
    <w:p w14:paraId="5EBC125F" w14:textId="77777777" w:rsidR="005C35C4" w:rsidRDefault="005C35C4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5C35C4" w:rsidRPr="00967103" w:rsidRDefault="005C35C4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368C7"/>
    <w:multiLevelType w:val="hybridMultilevel"/>
    <w:tmpl w:val="B93E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33DE0"/>
    <w:rsid w:val="00042477"/>
    <w:rsid w:val="00063178"/>
    <w:rsid w:val="000643E0"/>
    <w:rsid w:val="00065813"/>
    <w:rsid w:val="00073326"/>
    <w:rsid w:val="00077445"/>
    <w:rsid w:val="000841C9"/>
    <w:rsid w:val="00094414"/>
    <w:rsid w:val="001014A6"/>
    <w:rsid w:val="00146DE3"/>
    <w:rsid w:val="001B2D89"/>
    <w:rsid w:val="001C1CA8"/>
    <w:rsid w:val="001C3C78"/>
    <w:rsid w:val="0030066B"/>
    <w:rsid w:val="003043DF"/>
    <w:rsid w:val="003137F6"/>
    <w:rsid w:val="00362AB0"/>
    <w:rsid w:val="00382E0D"/>
    <w:rsid w:val="003A69C4"/>
    <w:rsid w:val="003D4EB1"/>
    <w:rsid w:val="003E027C"/>
    <w:rsid w:val="003F5DA2"/>
    <w:rsid w:val="00401253"/>
    <w:rsid w:val="00434471"/>
    <w:rsid w:val="00474217"/>
    <w:rsid w:val="004A72DB"/>
    <w:rsid w:val="004B2DBF"/>
    <w:rsid w:val="004C2086"/>
    <w:rsid w:val="00526D47"/>
    <w:rsid w:val="00546EFC"/>
    <w:rsid w:val="0055567C"/>
    <w:rsid w:val="0059673F"/>
    <w:rsid w:val="005A58F6"/>
    <w:rsid w:val="005B053C"/>
    <w:rsid w:val="005C35C4"/>
    <w:rsid w:val="00603BFD"/>
    <w:rsid w:val="006847E2"/>
    <w:rsid w:val="006B742A"/>
    <w:rsid w:val="006E1A66"/>
    <w:rsid w:val="006E2AD5"/>
    <w:rsid w:val="00720304"/>
    <w:rsid w:val="007226AB"/>
    <w:rsid w:val="00744306"/>
    <w:rsid w:val="007634DC"/>
    <w:rsid w:val="007B657C"/>
    <w:rsid w:val="007C0CB6"/>
    <w:rsid w:val="007E7DCD"/>
    <w:rsid w:val="007F7332"/>
    <w:rsid w:val="008010F6"/>
    <w:rsid w:val="008125D4"/>
    <w:rsid w:val="00836F0C"/>
    <w:rsid w:val="00875771"/>
    <w:rsid w:val="008B2E43"/>
    <w:rsid w:val="008D2143"/>
    <w:rsid w:val="008D6B42"/>
    <w:rsid w:val="00906386"/>
    <w:rsid w:val="00913F8D"/>
    <w:rsid w:val="00934626"/>
    <w:rsid w:val="00941FAD"/>
    <w:rsid w:val="00967103"/>
    <w:rsid w:val="0097202C"/>
    <w:rsid w:val="009875B9"/>
    <w:rsid w:val="009B6BDF"/>
    <w:rsid w:val="009F22C5"/>
    <w:rsid w:val="00A47B43"/>
    <w:rsid w:val="00A55E2A"/>
    <w:rsid w:val="00AA599B"/>
    <w:rsid w:val="00AC7F44"/>
    <w:rsid w:val="00AD2438"/>
    <w:rsid w:val="00B045B7"/>
    <w:rsid w:val="00B10B4C"/>
    <w:rsid w:val="00B1626B"/>
    <w:rsid w:val="00B34571"/>
    <w:rsid w:val="00BA3203"/>
    <w:rsid w:val="00BC15CA"/>
    <w:rsid w:val="00BD3FA6"/>
    <w:rsid w:val="00BD4956"/>
    <w:rsid w:val="00BE1A17"/>
    <w:rsid w:val="00BE7A45"/>
    <w:rsid w:val="00C11E00"/>
    <w:rsid w:val="00C544B2"/>
    <w:rsid w:val="00CB3A23"/>
    <w:rsid w:val="00CD4F89"/>
    <w:rsid w:val="00CD71FB"/>
    <w:rsid w:val="00CE75E3"/>
    <w:rsid w:val="00D6218D"/>
    <w:rsid w:val="00D87A5A"/>
    <w:rsid w:val="00DC1BF5"/>
    <w:rsid w:val="00E27C53"/>
    <w:rsid w:val="00E300A4"/>
    <w:rsid w:val="00E468BE"/>
    <w:rsid w:val="00EA5FE7"/>
    <w:rsid w:val="00EC2DDF"/>
    <w:rsid w:val="00EC6E7E"/>
    <w:rsid w:val="00ED2EB6"/>
    <w:rsid w:val="00ED5ACA"/>
    <w:rsid w:val="00EE598B"/>
    <w:rsid w:val="00F46169"/>
    <w:rsid w:val="00F95C64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151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13</cp:revision>
  <cp:lastPrinted>2013-05-10T11:09:00Z</cp:lastPrinted>
  <dcterms:created xsi:type="dcterms:W3CDTF">2020-05-19T09:39:00Z</dcterms:created>
  <dcterms:modified xsi:type="dcterms:W3CDTF">2020-05-26T14:01:00Z</dcterms:modified>
</cp:coreProperties>
</file>