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47F6176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42F3" w:rsidRPr="00CF42F3">
        <w:rPr>
          <w:b/>
          <w:i/>
          <w:sz w:val="22"/>
          <w:szCs w:val="22"/>
        </w:rPr>
        <w:t>Hana Jelínková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7AFC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7AFC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299A3B19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F42F3" w:rsidRPr="00CF42F3">
        <w:rPr>
          <w:b/>
          <w:i/>
          <w:sz w:val="22"/>
          <w:szCs w:val="22"/>
        </w:rPr>
        <w:t>Strategie vybraných kulturních institucí na území statutárního města Zlína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31438A0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b/>
                <w:snapToGrid w:val="0"/>
                <w:color w:val="000000"/>
              </w:rPr>
            </w:r>
            <w:r w:rsidR="008763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2AB63E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3160BE2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090BD7A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4C96349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b/>
                <w:snapToGrid w:val="0"/>
                <w:color w:val="000000"/>
              </w:rPr>
            </w:r>
            <w:r w:rsidR="008763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63A617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6F2881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3B1E41A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02F5FA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3CA63B3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b/>
                <w:snapToGrid w:val="0"/>
                <w:color w:val="000000"/>
              </w:rPr>
            </w:r>
            <w:r w:rsidR="008763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5E25295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3C1CB56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348FDBE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6137CE3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b/>
                <w:snapToGrid w:val="0"/>
                <w:color w:val="000000"/>
              </w:rPr>
            </w:r>
            <w:r w:rsidR="008763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7E36B38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644DA0F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6578FE1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4171A18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6907ACF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0BD9334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b/>
                <w:snapToGrid w:val="0"/>
                <w:color w:val="000000"/>
              </w:rPr>
            </w:r>
            <w:r w:rsidR="008763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0AE2F2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004675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3CC1E5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482D68B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4EF75D5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b/>
                <w:snapToGrid w:val="0"/>
                <w:color w:val="000000"/>
              </w:rPr>
            </w:r>
            <w:r w:rsidR="008763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75485F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7B1124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441F4E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7071EE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3253630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367">
              <w:rPr>
                <w:snapToGrid w:val="0"/>
                <w:color w:val="000000"/>
              </w:rPr>
            </w:r>
            <w:r w:rsidR="008763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4EB0CF84" w:rsidR="00DC219A" w:rsidRPr="00FB1E25" w:rsidRDefault="005C5600" w:rsidP="004412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126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4A4CAB9F" w14:textId="31FE045D" w:rsidR="0044126A" w:rsidRPr="0044126A" w:rsidRDefault="005C5600" w:rsidP="0044126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4126A" w:rsidRPr="0044126A">
        <w:rPr>
          <w:i/>
          <w:noProof/>
        </w:rPr>
        <w:t>Hodnocená bakalářská práce se věnuje problematice strategického plánování v tematické oblasti kultury s</w:t>
      </w:r>
      <w:r w:rsidR="0044126A">
        <w:rPr>
          <w:i/>
          <w:noProof/>
        </w:rPr>
        <w:t> </w:t>
      </w:r>
      <w:r w:rsidR="0044126A" w:rsidRPr="0044126A">
        <w:rPr>
          <w:i/>
          <w:noProof/>
        </w:rPr>
        <w:t>bližším zaměřením na území statutárního města Zlín. Deklarovaným cílem práce je navrhnout opatření ke zlepšení kulturní situace na území statutárního města Zlín, a to na základě provedených analytických prací. Práce je standardně členěna na teoretickou a praktickou část, každá z částí pak na několik kapitol a podkapitol. Všechny části práce jsou zpracovány na poměrně dobré úrovni s tím, že jednotlivé části práce na sebe logicky a jasně navazují. Z formálního hlediska práce</w:t>
      </w:r>
      <w:r w:rsidR="0044126A">
        <w:rPr>
          <w:i/>
          <w:noProof/>
        </w:rPr>
        <w:t xml:space="preserve"> v zásadě</w:t>
      </w:r>
      <w:r w:rsidR="0044126A" w:rsidRPr="0044126A">
        <w:rPr>
          <w:i/>
          <w:noProof/>
        </w:rPr>
        <w:t xml:space="preserve"> splňuje požadavky kladené na tento typ prací.</w:t>
      </w:r>
    </w:p>
    <w:p w14:paraId="7A60D823" w14:textId="77777777" w:rsidR="0044126A" w:rsidRPr="0044126A" w:rsidRDefault="0044126A" w:rsidP="0044126A">
      <w:pPr>
        <w:rPr>
          <w:i/>
          <w:noProof/>
        </w:rPr>
      </w:pPr>
    </w:p>
    <w:p w14:paraId="7050ADB3" w14:textId="77777777" w:rsidR="0044126A" w:rsidRPr="0044126A" w:rsidRDefault="0044126A" w:rsidP="0044126A">
      <w:pPr>
        <w:rPr>
          <w:i/>
          <w:noProof/>
        </w:rPr>
      </w:pPr>
      <w:r w:rsidRPr="0044126A">
        <w:rPr>
          <w:i/>
          <w:noProof/>
        </w:rPr>
        <w:t>1. Jaká jsou hlavní zjištění Vámi provedených analýz?</w:t>
      </w:r>
    </w:p>
    <w:p w14:paraId="59BF54A8" w14:textId="622496F3" w:rsidR="00DC219A" w:rsidRPr="00AE58C9" w:rsidRDefault="0044126A" w:rsidP="0044126A">
      <w:pPr>
        <w:rPr>
          <w:i/>
        </w:rPr>
      </w:pPr>
      <w:r w:rsidRPr="0044126A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385F242C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6367">
        <w:rPr>
          <w:i/>
        </w:rPr>
      </w:r>
      <w:r w:rsidR="0087636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2FF944F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6367">
        <w:rPr>
          <w:i/>
        </w:rPr>
      </w:r>
      <w:r w:rsidR="0087636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190AD3FD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7AFC">
        <w:rPr>
          <w:i/>
        </w:rPr>
        <w:t>5. 7. 2020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6B841" w14:textId="77777777" w:rsidR="00031518" w:rsidRDefault="00031518">
      <w:r>
        <w:separator/>
      </w:r>
    </w:p>
  </w:endnote>
  <w:endnote w:type="continuationSeparator" w:id="0">
    <w:p w14:paraId="621E054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9E8EB" w14:textId="77777777" w:rsidR="00031518" w:rsidRDefault="00031518">
      <w:r>
        <w:separator/>
      </w:r>
    </w:p>
  </w:footnote>
  <w:footnote w:type="continuationSeparator" w:id="0">
    <w:p w14:paraId="419F34FA" w14:textId="77777777" w:rsidR="00031518" w:rsidRDefault="00031518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126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68A6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6367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7AFC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42F3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ACAC6601-C802-4ABF-87F5-7AF26F59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F378B0-77E4-4A2D-A38F-4DE503AFCED9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b2760fc6-0594-407e-87c6-5506db99eec0"/>
    <ds:schemaRef ds:uri="http://purl.org/dc/dcmitype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A5D09-DA6A-476E-AF4C-21AFC42C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2020-07-07T08:46:00Z</dcterms:created>
  <dcterms:modified xsi:type="dcterms:W3CDTF">2020-07-07T08:46:00Z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