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1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Svobodová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1394" w:rsidP="00362AB0">
            <w:pPr>
              <w:rPr>
                <w:sz w:val="22"/>
                <w:szCs w:val="22"/>
              </w:rPr>
            </w:pPr>
            <w:r w:rsidRPr="004B1394">
              <w:rPr>
                <w:sz w:val="22"/>
                <w:szCs w:val="22"/>
              </w:rPr>
              <w:t>Význam rekvalifikace z pohledu pracovníků zprostředkujících zaměstnání na Úřadu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1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B1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1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B1394" w:rsidRPr="00C50B27" w:rsidRDefault="004B1394" w:rsidP="005D27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bakalářská práce se zabývá rekvalifikací, tentokrát z pohledu pracovníků Úřadu práce.</w:t>
            </w:r>
          </w:p>
          <w:p w:rsidR="00B411DB" w:rsidRDefault="004B1394" w:rsidP="005D274D">
            <w:pPr>
              <w:jc w:val="both"/>
              <w:rPr>
                <w:sz w:val="22"/>
                <w:szCs w:val="22"/>
              </w:rPr>
            </w:pPr>
            <w:r w:rsidRPr="004B1394">
              <w:rPr>
                <w:sz w:val="22"/>
                <w:szCs w:val="22"/>
              </w:rPr>
              <w:t>Práce má samostatnou teoretickou a praktickou část. Autorka nejprve vymezuje širší kontext rekvalifikací, kterým je politika zaměstnanosti, sociální politika, představuje též aktéry na poli politiky zaměstnanosti</w:t>
            </w:r>
            <w:r>
              <w:rPr>
                <w:sz w:val="22"/>
                <w:szCs w:val="22"/>
              </w:rPr>
              <w:t>.</w:t>
            </w:r>
          </w:p>
          <w:p w:rsidR="004B1394" w:rsidRDefault="004B1394" w:rsidP="005D274D">
            <w:pPr>
              <w:jc w:val="both"/>
              <w:rPr>
                <w:sz w:val="22"/>
                <w:szCs w:val="22"/>
              </w:rPr>
            </w:pPr>
            <w:r w:rsidRPr="004B1394">
              <w:rPr>
                <w:sz w:val="22"/>
                <w:szCs w:val="22"/>
              </w:rPr>
              <w:t xml:space="preserve">Množství použité literatury a dalších zdrojů je </w:t>
            </w:r>
            <w:r>
              <w:rPr>
                <w:sz w:val="22"/>
                <w:szCs w:val="22"/>
              </w:rPr>
              <w:t>na dobré úrovni</w:t>
            </w:r>
            <w:r w:rsidRPr="004B1394">
              <w:rPr>
                <w:sz w:val="22"/>
                <w:szCs w:val="22"/>
              </w:rPr>
              <w:t>, práce s literaturou je v</w:t>
            </w:r>
            <w:r>
              <w:rPr>
                <w:sz w:val="22"/>
                <w:szCs w:val="22"/>
              </w:rPr>
              <w:t> </w:t>
            </w:r>
            <w:r w:rsidRPr="004B1394">
              <w:rPr>
                <w:sz w:val="22"/>
                <w:szCs w:val="22"/>
              </w:rPr>
              <w:t>pořádku</w:t>
            </w:r>
            <w:r>
              <w:rPr>
                <w:sz w:val="22"/>
                <w:szCs w:val="22"/>
              </w:rPr>
              <w:t>.</w:t>
            </w:r>
          </w:p>
          <w:p w:rsidR="005D274D" w:rsidRDefault="005D274D" w:rsidP="005D27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popsána metodologie. Autorka zvolila kvantitativní výzkum pomocí dotazníku vlastní konstrukce.</w:t>
            </w:r>
          </w:p>
          <w:p w:rsidR="0076352C" w:rsidRDefault="005D274D" w:rsidP="005D27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soubor tvořili pracovníci zprostředkující zaměstnání na Úřadu práce ve Zlínském kraji. Jako problémové vidím, že celkový počet vyplněných dotazníků  byl 38. </w:t>
            </w:r>
            <w:r w:rsidR="0076352C">
              <w:rPr>
                <w:sz w:val="22"/>
                <w:szCs w:val="22"/>
              </w:rPr>
              <w:t xml:space="preserve">Příčiny takovéto situace popisuje autorka sama na str. 49. </w:t>
            </w:r>
            <w:r w:rsidR="0076352C" w:rsidRPr="0076352C">
              <w:rPr>
                <w:b/>
                <w:sz w:val="22"/>
                <w:szCs w:val="22"/>
              </w:rPr>
              <w:t>Prosím autorku, aby v rámci obhajoby navrhla způsob, jak se dá takové situaci předejít.</w:t>
            </w:r>
          </w:p>
          <w:p w:rsidR="005D274D" w:rsidRDefault="005D274D" w:rsidP="005D27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spíše na popisné úrovni.</w:t>
            </w:r>
          </w:p>
          <w:p w:rsidR="00B411DB" w:rsidRPr="00C50B27" w:rsidRDefault="005D274D" w:rsidP="007635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7 je nazvána Shrnutí výsledků a doporučení pro praxi. </w:t>
            </w:r>
            <w:r w:rsidR="0076352C">
              <w:rPr>
                <w:sz w:val="22"/>
                <w:szCs w:val="22"/>
              </w:rPr>
              <w:t xml:space="preserve">V textu kapitoly však žádná doporučení pro praxi nejsou.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635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 poznámka (tučně) výše v textu.</w:t>
            </w:r>
          </w:p>
          <w:p w:rsidR="00B411DB" w:rsidRPr="00C50B27" w:rsidRDefault="004B1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názor na budoucnost rekvalifikací?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B13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1394">
              <w:rPr>
                <w:sz w:val="22"/>
                <w:szCs w:val="22"/>
              </w:rPr>
              <w:t xml:space="preserve"> </w:t>
            </w:r>
            <w:proofErr w:type="gramStart"/>
            <w:r w:rsidR="004B1394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B139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B1394">
              <w:rPr>
                <w:sz w:val="22"/>
                <w:szCs w:val="22"/>
              </w:rPr>
              <w:t>v.r.</w:t>
            </w:r>
            <w:proofErr w:type="gramEnd"/>
            <w:r w:rsidR="004B139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76" w:rsidRDefault="00784976">
      <w:r>
        <w:separator/>
      </w:r>
    </w:p>
  </w:endnote>
  <w:endnote w:type="continuationSeparator" w:id="0">
    <w:p w:rsidR="00784976" w:rsidRDefault="0078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76" w:rsidRDefault="00784976">
      <w:r>
        <w:separator/>
      </w:r>
    </w:p>
  </w:footnote>
  <w:footnote w:type="continuationSeparator" w:id="0">
    <w:p w:rsidR="00784976" w:rsidRDefault="007849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362AB0"/>
    <w:rsid w:val="003F5DA2"/>
    <w:rsid w:val="004B1394"/>
    <w:rsid w:val="00512982"/>
    <w:rsid w:val="00514664"/>
    <w:rsid w:val="00526D47"/>
    <w:rsid w:val="0055255D"/>
    <w:rsid w:val="005C219A"/>
    <w:rsid w:val="005D274D"/>
    <w:rsid w:val="006847E2"/>
    <w:rsid w:val="00730C1A"/>
    <w:rsid w:val="0076352C"/>
    <w:rsid w:val="00784976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CFC9E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39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2018-05-04T08:52:00Z</dcterms:created>
  <dcterms:modified xsi:type="dcterms:W3CDTF">2020-06-30T07:00:00Z</dcterms:modified>
</cp:coreProperties>
</file>