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Zita Alánová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vlastní účinnosti pracovníků úřadu práce ČR při práci s nezaměstnanými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13EF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13EF" w:rsidRDefault="00744CA3" w:rsidP="00F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vnímání vlastní účinnosti v profesní oblasti, konkrétně u pracovníků úřadu práce poskytující individuální poradenství v Jihomoravském kraji. Zvolené téma je úzce profilované</w:t>
            </w:r>
            <w:r w:rsidR="00FD2828">
              <w:rPr>
                <w:sz w:val="22"/>
                <w:szCs w:val="22"/>
              </w:rPr>
              <w:t xml:space="preserve"> a </w:t>
            </w:r>
            <w:r w:rsidR="008A4BB6">
              <w:rPr>
                <w:sz w:val="22"/>
                <w:szCs w:val="22"/>
              </w:rPr>
              <w:t>poskytuje</w:t>
            </w:r>
            <w:r w:rsidR="00FD2828">
              <w:rPr>
                <w:sz w:val="22"/>
                <w:szCs w:val="22"/>
              </w:rPr>
              <w:t xml:space="preserve"> hlubší vhled do této problematiky. </w:t>
            </w:r>
          </w:p>
          <w:p w:rsidR="00FD2828" w:rsidRPr="00985A8B" w:rsidRDefault="00FD2828" w:rsidP="00985A8B">
            <w:pPr>
              <w:jc w:val="both"/>
              <w:rPr>
                <w:sz w:val="22"/>
                <w:szCs w:val="22"/>
              </w:rPr>
            </w:pPr>
            <w:r w:rsidRPr="00985A8B">
              <w:rPr>
                <w:sz w:val="22"/>
                <w:szCs w:val="22"/>
              </w:rPr>
              <w:t xml:space="preserve">Teoretická část práce má jasnou koncepci, je zpracována s ohledem na zaměření práce, tzn., </w:t>
            </w:r>
            <w:r w:rsidR="00985A8B">
              <w:rPr>
                <w:sz w:val="22"/>
                <w:szCs w:val="22"/>
              </w:rPr>
              <w:t xml:space="preserve">že </w:t>
            </w:r>
            <w:r w:rsidRPr="00985A8B">
              <w:rPr>
                <w:sz w:val="22"/>
                <w:szCs w:val="22"/>
              </w:rPr>
              <w:t xml:space="preserve">neposkytuje pouze obecné informace, ale je vázána vždy na profesní kontext (což činí práci velmi cennou), využívá řadu relevantních odkazů, poskytuje kvalitní zázemí pro empirickou část práce. </w:t>
            </w:r>
          </w:p>
          <w:p w:rsidR="000313EF" w:rsidRPr="00985A8B" w:rsidRDefault="00FD2828" w:rsidP="00985A8B">
            <w:pPr>
              <w:jc w:val="both"/>
              <w:rPr>
                <w:sz w:val="22"/>
                <w:szCs w:val="22"/>
              </w:rPr>
            </w:pPr>
            <w:r w:rsidRPr="00985A8B">
              <w:rPr>
                <w:sz w:val="22"/>
                <w:szCs w:val="22"/>
              </w:rPr>
              <w:t xml:space="preserve">Empirická část práce </w:t>
            </w:r>
            <w:r w:rsidR="008A4BB6" w:rsidRPr="00985A8B">
              <w:rPr>
                <w:sz w:val="22"/>
                <w:szCs w:val="22"/>
              </w:rPr>
              <w:t xml:space="preserve">dosahuje vysoké úrovně, metodologická část je promyšlená, smysluplná, je patrná vysoká úroveň zpracování dat. Vyzdvihnout lze také celkové shrnutí a diskusi, ze které je zřejmé, že studentka dokáže výsledky nejen uchopit a zpracovat, ale také vysvětlit (interpretovat a porovnat s jinými pracemi). </w:t>
            </w:r>
          </w:p>
          <w:p w:rsidR="00B411DB" w:rsidRDefault="00FD2828" w:rsidP="00031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zpracována velmi kvalitně, ocenit lze vysokou úroveň teoretické i empirické části a také odborný přínos práce. </w:t>
            </w:r>
            <w:r w:rsidR="008A4BB6">
              <w:rPr>
                <w:sz w:val="22"/>
                <w:szCs w:val="22"/>
              </w:rPr>
              <w:t xml:space="preserve">Oceňuji odbornou kvalitu práce. </w:t>
            </w:r>
          </w:p>
          <w:p w:rsidR="00E16EAF" w:rsidRPr="00C50B27" w:rsidRDefault="00E16EAF" w:rsidP="000313E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A4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Nejnižší míra vnímané účinnosti byla zjištěna v oblasti regulace emocí. Můžete navrhnout další praktická doporučení (kromě navrhované možnosti supervize)</w:t>
            </w:r>
            <w:r w:rsidR="005305E9">
              <w:rPr>
                <w:sz w:val="22"/>
                <w:szCs w:val="22"/>
              </w:rPr>
              <w:t xml:space="preserve"> k posílení této oblasti</w:t>
            </w:r>
            <w:r>
              <w:rPr>
                <w:sz w:val="22"/>
                <w:szCs w:val="22"/>
              </w:rPr>
              <w:t xml:space="preserve">? </w:t>
            </w:r>
          </w:p>
          <w:p w:rsidR="00F672BD" w:rsidRPr="00C50B27" w:rsidRDefault="00F672B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13EF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933D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0933D2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04" w:rsidRDefault="00E96004">
      <w:r>
        <w:separator/>
      </w:r>
    </w:p>
  </w:endnote>
  <w:endnote w:type="continuationSeparator" w:id="0">
    <w:p w:rsidR="00E96004" w:rsidRDefault="00E9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04" w:rsidRDefault="00E96004">
      <w:r>
        <w:separator/>
      </w:r>
    </w:p>
  </w:footnote>
  <w:footnote w:type="continuationSeparator" w:id="0">
    <w:p w:rsidR="00E96004" w:rsidRDefault="00E9600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0933D2"/>
    <w:rsid w:val="00362AB0"/>
    <w:rsid w:val="003F5DA2"/>
    <w:rsid w:val="00512982"/>
    <w:rsid w:val="00514664"/>
    <w:rsid w:val="00526D47"/>
    <w:rsid w:val="005305E9"/>
    <w:rsid w:val="0055255D"/>
    <w:rsid w:val="005C219A"/>
    <w:rsid w:val="006847E2"/>
    <w:rsid w:val="006C0C52"/>
    <w:rsid w:val="0070056B"/>
    <w:rsid w:val="00744CA3"/>
    <w:rsid w:val="008459DB"/>
    <w:rsid w:val="008A4BB6"/>
    <w:rsid w:val="00985A8B"/>
    <w:rsid w:val="00B411DB"/>
    <w:rsid w:val="00BA3203"/>
    <w:rsid w:val="00C50B27"/>
    <w:rsid w:val="00CA1393"/>
    <w:rsid w:val="00DC1BF5"/>
    <w:rsid w:val="00E16EAF"/>
    <w:rsid w:val="00E709EA"/>
    <w:rsid w:val="00E83040"/>
    <w:rsid w:val="00E96004"/>
    <w:rsid w:val="00F672BD"/>
    <w:rsid w:val="00FD282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8AA86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83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2020-07-02T08:22:00Z</cp:lastPrinted>
  <dcterms:created xsi:type="dcterms:W3CDTF">2020-06-22T08:16:00Z</dcterms:created>
  <dcterms:modified xsi:type="dcterms:W3CDTF">2020-07-02T08:22:00Z</dcterms:modified>
</cp:coreProperties>
</file>