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70"/>
        <w:gridCol w:w="3095"/>
        <w:gridCol w:w="376"/>
        <w:gridCol w:w="377"/>
        <w:gridCol w:w="391"/>
        <w:gridCol w:w="391"/>
        <w:gridCol w:w="377"/>
        <w:gridCol w:w="365"/>
      </w:tblGrid>
      <w:tr w:rsidR="00840F11" w:rsidRPr="007708A0" w:rsidTr="00957D02">
        <w:tc>
          <w:tcPr>
            <w:tcW w:w="5000" w:type="pct"/>
            <w:gridSpan w:val="8"/>
          </w:tcPr>
          <w:p w:rsidR="00840F11" w:rsidRPr="007708A0" w:rsidRDefault="00840F11" w:rsidP="00063CE1">
            <w:pPr>
              <w:spacing w:after="0" w:line="240" w:lineRule="auto"/>
              <w:jc w:val="center"/>
              <w:rPr>
                <w:rFonts w:ascii="Arial" w:hAnsi="Arial" w:cs="Arial"/>
              </w:rPr>
            </w:pPr>
            <w:r w:rsidRPr="007708A0">
              <w:rPr>
                <w:rFonts w:ascii="Arial" w:hAnsi="Arial" w:cs="Arial"/>
                <w:b/>
              </w:rPr>
              <w:t>POSUDEK OPONENTA BAKALÁŘSKÉ PRÁCE</w:t>
            </w:r>
          </w:p>
        </w:tc>
      </w:tr>
      <w:tr w:rsidR="00840F11" w:rsidRPr="007708A0" w:rsidTr="00063CE1">
        <w:tc>
          <w:tcPr>
            <w:tcW w:w="2030" w:type="pct"/>
          </w:tcPr>
          <w:p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0" w:type="pct"/>
            <w:gridSpan w:val="7"/>
          </w:tcPr>
          <w:p w:rsidR="00840F11" w:rsidRPr="00A2271C" w:rsidRDefault="003A63B2" w:rsidP="00957D02">
            <w:pPr>
              <w:spacing w:after="0" w:line="240" w:lineRule="auto"/>
              <w:rPr>
                <w:rFonts w:ascii="Arial" w:hAnsi="Arial" w:cs="Arial"/>
              </w:rPr>
            </w:pPr>
            <w:r>
              <w:rPr>
                <w:rFonts w:ascii="Arial" w:hAnsi="Arial" w:cs="Arial"/>
              </w:rPr>
              <w:t>Petra Sedlářová</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0" w:type="pct"/>
            <w:gridSpan w:val="7"/>
          </w:tcPr>
          <w:p w:rsidR="00840F11" w:rsidRPr="007708A0" w:rsidRDefault="003A63B2" w:rsidP="003A63B2">
            <w:pPr>
              <w:spacing w:after="0" w:line="240" w:lineRule="auto"/>
              <w:rPr>
                <w:rFonts w:ascii="Arial" w:hAnsi="Arial" w:cs="Arial"/>
              </w:rPr>
            </w:pPr>
            <w:r>
              <w:rPr>
                <w:rFonts w:ascii="Arial" w:hAnsi="Arial" w:cs="Arial"/>
              </w:rPr>
              <w:t>Komunikace dětí při skupinové práci v mateřské škole</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Jméno a příjmení oponenta práce</w:t>
            </w:r>
          </w:p>
        </w:tc>
        <w:tc>
          <w:tcPr>
            <w:tcW w:w="2970" w:type="pct"/>
            <w:gridSpan w:val="7"/>
          </w:tcPr>
          <w:p w:rsidR="00840F11" w:rsidRPr="007708A0" w:rsidRDefault="003A63B2" w:rsidP="00957D02">
            <w:pPr>
              <w:spacing w:after="0" w:line="240" w:lineRule="auto"/>
              <w:rPr>
                <w:rFonts w:ascii="Arial" w:hAnsi="Arial" w:cs="Arial"/>
              </w:rPr>
            </w:pPr>
            <w:r>
              <w:rPr>
                <w:rFonts w:ascii="Arial" w:hAnsi="Arial" w:cs="Arial"/>
              </w:rPr>
              <w:t>Prof. PhDr. Ivo Jirásek, Ph.D.</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Studijní obor</w:t>
            </w:r>
          </w:p>
        </w:tc>
        <w:tc>
          <w:tcPr>
            <w:tcW w:w="2970" w:type="pct"/>
            <w:gridSpan w:val="7"/>
          </w:tcPr>
          <w:p w:rsidR="00840F11" w:rsidRPr="007708A0" w:rsidRDefault="003A63B2" w:rsidP="00957D02">
            <w:pPr>
              <w:spacing w:after="0" w:line="240" w:lineRule="auto"/>
              <w:rPr>
                <w:rFonts w:ascii="Arial" w:hAnsi="Arial" w:cs="Arial"/>
              </w:rPr>
            </w:pPr>
            <w:r>
              <w:rPr>
                <w:rFonts w:ascii="Arial" w:hAnsi="Arial" w:cs="Arial"/>
              </w:rPr>
              <w:t>Učitelství pro mateřské školy</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0" w:type="pct"/>
            <w:gridSpan w:val="7"/>
          </w:tcPr>
          <w:p w:rsidR="00840F11" w:rsidRPr="007708A0" w:rsidRDefault="003A63B2" w:rsidP="00957D02">
            <w:pPr>
              <w:spacing w:after="0" w:line="240" w:lineRule="auto"/>
              <w:rPr>
                <w:rFonts w:ascii="Arial" w:hAnsi="Arial" w:cs="Arial"/>
              </w:rPr>
            </w:pPr>
            <w:r>
              <w:rPr>
                <w:rFonts w:ascii="Arial" w:hAnsi="Arial" w:cs="Arial"/>
              </w:rPr>
              <w:t xml:space="preserve">Prezenční </w:t>
            </w:r>
          </w:p>
        </w:tc>
      </w:tr>
      <w:tr w:rsidR="00840F11" w:rsidRPr="007708A0" w:rsidTr="00063CE1">
        <w:tc>
          <w:tcPr>
            <w:tcW w:w="2030" w:type="pct"/>
            <w:vAlign w:val="center"/>
          </w:tcPr>
          <w:p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0" w:type="pct"/>
            <w:gridSpan w:val="7"/>
          </w:tcPr>
          <w:p w:rsidR="00840F11" w:rsidRPr="009D49EF" w:rsidRDefault="00840F11" w:rsidP="00957D02">
            <w:pPr>
              <w:spacing w:after="0" w:line="240" w:lineRule="auto"/>
              <w:rPr>
                <w:rFonts w:ascii="Arial" w:hAnsi="Arial" w:cs="Arial"/>
                <w:b/>
              </w:rPr>
            </w:pPr>
            <w:r w:rsidRPr="007708A0">
              <w:rPr>
                <w:rFonts w:ascii="Arial" w:hAnsi="Arial" w:cs="Arial"/>
                <w:b/>
              </w:rPr>
              <w:t>Stupeň hodnocení</w:t>
            </w:r>
            <w:r w:rsidR="00A2271C">
              <w:rPr>
                <w:rFonts w:ascii="Arial" w:hAnsi="Arial" w:cs="Arial"/>
                <w:b/>
              </w:rPr>
              <w:t xml:space="preserve"> </w:t>
            </w:r>
            <w:r w:rsidRPr="007708A0">
              <w:rPr>
                <w:rFonts w:ascii="Arial" w:hAnsi="Arial" w:cs="Arial"/>
                <w:b/>
              </w:rPr>
              <w:t>dle stupnice ECTS</w:t>
            </w:r>
          </w:p>
        </w:tc>
      </w:tr>
      <w:tr w:rsidR="00840F11" w:rsidRPr="007708A0" w:rsidTr="00957D02">
        <w:tc>
          <w:tcPr>
            <w:tcW w:w="5000" w:type="pct"/>
            <w:gridSpan w:val="8"/>
            <w:shd w:val="clear" w:color="auto" w:fill="A6A6A6"/>
          </w:tcPr>
          <w:p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9834CD" w:rsidP="00957D02">
            <w:pPr>
              <w:spacing w:after="0" w:line="240" w:lineRule="auto"/>
              <w:rPr>
                <w:rFonts w:ascii="Arial" w:hAnsi="Arial" w:cs="Arial"/>
              </w:rPr>
            </w:pPr>
            <w:r>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686528">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9834CD" w:rsidP="00957D02">
            <w:pPr>
              <w:spacing w:after="0" w:line="240" w:lineRule="auto"/>
              <w:rPr>
                <w:rFonts w:ascii="Arial" w:hAnsi="Arial" w:cs="Arial"/>
              </w:rPr>
            </w:pPr>
            <w:r>
              <w:rPr>
                <w:rFonts w:ascii="Arial" w:hAnsi="Arial" w:cs="Arial"/>
              </w:rPr>
              <w:t>E</w:t>
            </w: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3A63B2" w:rsidP="00957D02">
            <w:pPr>
              <w:spacing w:after="0" w:line="240" w:lineRule="auto"/>
              <w:rPr>
                <w:rFonts w:ascii="Arial" w:hAnsi="Arial" w:cs="Arial"/>
              </w:rPr>
            </w:pPr>
            <w:r>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3A63B2" w:rsidP="00957D02">
            <w:pPr>
              <w:spacing w:after="0" w:line="240" w:lineRule="auto"/>
              <w:rPr>
                <w:rFonts w:ascii="Arial" w:hAnsi="Arial" w:cs="Arial"/>
              </w:rPr>
            </w:pPr>
            <w:r>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3A63B2" w:rsidP="00957D02">
            <w:pPr>
              <w:spacing w:after="0" w:line="240" w:lineRule="auto"/>
              <w:rPr>
                <w:rFonts w:ascii="Arial" w:hAnsi="Arial" w:cs="Arial"/>
              </w:rPr>
            </w:pPr>
            <w:r>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9834CD" w:rsidP="00957D02">
            <w:pPr>
              <w:spacing w:after="0" w:line="240" w:lineRule="auto"/>
              <w:rPr>
                <w:rFonts w:ascii="Arial" w:hAnsi="Arial" w:cs="Arial"/>
              </w:rPr>
            </w:pPr>
            <w:r>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bottom w:val="single" w:sz="4" w:space="0" w:color="auto"/>
            </w:tcBorders>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rsidTr="00957D02">
        <w:trPr>
          <w:trHeight w:val="266"/>
        </w:trPr>
        <w:tc>
          <w:tcPr>
            <w:tcW w:w="5000" w:type="pct"/>
            <w:gridSpan w:val="8"/>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9834CD"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r w:rsidR="00774418">
              <w:rPr>
                <w:rFonts w:ascii="Arial" w:hAnsi="Arial" w:cs="Arial"/>
              </w:rPr>
              <w:t xml:space="preserve"> </w:t>
            </w: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9834CD"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9834CD"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9834CD"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top w:val="single" w:sz="4" w:space="0" w:color="auto"/>
            </w:tcBorders>
            <w:shd w:val="clear" w:color="auto" w:fill="A6A6A6"/>
          </w:tcPr>
          <w:p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9834CD" w:rsidP="00957D02">
            <w:pPr>
              <w:spacing w:after="0" w:line="240" w:lineRule="auto"/>
              <w:rPr>
                <w:rFonts w:ascii="Arial" w:hAnsi="Arial" w:cs="Arial"/>
              </w:rPr>
            </w:pPr>
            <w:r>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9834CD" w:rsidP="00957D02">
            <w:pPr>
              <w:spacing w:after="0" w:line="240" w:lineRule="auto"/>
              <w:rPr>
                <w:rFonts w:ascii="Arial" w:hAnsi="Arial" w:cs="Arial"/>
              </w:rPr>
            </w:pPr>
            <w:r>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Pr>
          <w:p w:rsidR="00774418" w:rsidRDefault="00774418" w:rsidP="00957D02">
            <w:pPr>
              <w:spacing w:after="0" w:line="240" w:lineRule="auto"/>
              <w:rPr>
                <w:rFonts w:ascii="Arial" w:hAnsi="Arial" w:cs="Arial"/>
                <w:b/>
              </w:rPr>
            </w:pPr>
          </w:p>
          <w:p w:rsidR="00840F11" w:rsidRPr="007708A0" w:rsidRDefault="00840F11" w:rsidP="00957D02">
            <w:pPr>
              <w:spacing w:after="0" w:line="240" w:lineRule="auto"/>
              <w:rPr>
                <w:rFonts w:ascii="Arial" w:hAnsi="Arial" w:cs="Arial"/>
                <w:b/>
              </w:rPr>
            </w:pPr>
            <w:r w:rsidRPr="007708A0">
              <w:rPr>
                <w:rFonts w:ascii="Arial" w:hAnsi="Arial" w:cs="Arial"/>
                <w:b/>
              </w:rPr>
              <w:t>Odůvodnění hodnocení práce:</w:t>
            </w:r>
          </w:p>
          <w:p w:rsidR="00724C5F" w:rsidRDefault="005B471E" w:rsidP="00C10993">
            <w:pPr>
              <w:spacing w:after="0" w:line="240" w:lineRule="auto"/>
              <w:rPr>
                <w:rFonts w:ascii="Arial" w:hAnsi="Arial" w:cs="Arial"/>
              </w:rPr>
            </w:pPr>
            <w:r>
              <w:rPr>
                <w:rFonts w:ascii="Arial" w:hAnsi="Arial" w:cs="Arial"/>
              </w:rPr>
              <w:t>Vlivem používaných zdrojů (zejména učebnice a shrnující pojednání, zcela absentující časopisecké zdroje výzkumného charakteru) působí teoretická část</w:t>
            </w:r>
            <w:r w:rsidR="009834CD">
              <w:rPr>
                <w:rFonts w:ascii="Arial" w:hAnsi="Arial" w:cs="Arial"/>
              </w:rPr>
              <w:t xml:space="preserve"> práce</w:t>
            </w:r>
            <w:r>
              <w:rPr>
                <w:rFonts w:ascii="Arial" w:hAnsi="Arial" w:cs="Arial"/>
              </w:rPr>
              <w:t xml:space="preserve"> poněkud „školsky“</w:t>
            </w:r>
            <w:r w:rsidR="009834CD">
              <w:rPr>
                <w:rFonts w:ascii="Arial" w:hAnsi="Arial" w:cs="Arial"/>
              </w:rPr>
              <w:t xml:space="preserve"> spíše než „výzkumně“.</w:t>
            </w:r>
            <w:r>
              <w:rPr>
                <w:rFonts w:ascii="Arial" w:hAnsi="Arial" w:cs="Arial"/>
              </w:rPr>
              <w:t xml:space="preserve"> </w:t>
            </w:r>
            <w:r w:rsidR="009834CD">
              <w:rPr>
                <w:rFonts w:ascii="Arial" w:hAnsi="Arial" w:cs="Arial"/>
              </w:rPr>
              <w:t>D</w:t>
            </w:r>
            <w:r>
              <w:rPr>
                <w:rFonts w:ascii="Arial" w:hAnsi="Arial" w:cs="Arial"/>
              </w:rPr>
              <w:t>ojem je</w:t>
            </w:r>
            <w:r w:rsidR="009834CD">
              <w:rPr>
                <w:rFonts w:ascii="Arial" w:hAnsi="Arial" w:cs="Arial"/>
              </w:rPr>
              <w:t xml:space="preserve"> však navíc</w:t>
            </w:r>
            <w:r>
              <w:rPr>
                <w:rFonts w:ascii="Arial" w:hAnsi="Arial" w:cs="Arial"/>
              </w:rPr>
              <w:t xml:space="preserve"> snížen </w:t>
            </w:r>
            <w:r w:rsidR="009834CD">
              <w:rPr>
                <w:rFonts w:ascii="Arial" w:hAnsi="Arial" w:cs="Arial"/>
              </w:rPr>
              <w:t>kvalitou</w:t>
            </w:r>
            <w:r w:rsidR="009834CD">
              <w:rPr>
                <w:rFonts w:ascii="Arial" w:hAnsi="Arial" w:cs="Arial"/>
              </w:rPr>
              <w:t xml:space="preserve"> používaných </w:t>
            </w:r>
            <w:r>
              <w:rPr>
                <w:rFonts w:ascii="Arial" w:hAnsi="Arial" w:cs="Arial"/>
              </w:rPr>
              <w:t>jazykov</w:t>
            </w:r>
            <w:r w:rsidR="009834CD">
              <w:rPr>
                <w:rFonts w:ascii="Arial" w:hAnsi="Arial" w:cs="Arial"/>
              </w:rPr>
              <w:t>ých prostředků</w:t>
            </w:r>
            <w:r>
              <w:rPr>
                <w:rFonts w:ascii="Arial" w:hAnsi="Arial" w:cs="Arial"/>
              </w:rPr>
              <w:t>, což zaráží zejména s ohledem na volbu tématu.</w:t>
            </w:r>
            <w:r>
              <w:rPr>
                <w:rFonts w:ascii="Arial" w:hAnsi="Arial" w:cs="Arial"/>
              </w:rPr>
              <w:t xml:space="preserve"> </w:t>
            </w:r>
            <w:r w:rsidR="003A63B2">
              <w:rPr>
                <w:rFonts w:ascii="Arial" w:hAnsi="Arial" w:cs="Arial"/>
              </w:rPr>
              <w:t>Práce působí místy jako mnohomluvné opakování téže myšlenky, bez vytřídění opakujících se jazykových výrazů. Např. (s. 14) „Tak jako všichni, každý z nás si za svůj život prošel nejrůznějšími vývojovými etapami. Co se ovšem týče řeči, je jedním z nejzajímavějšího vývojového období každého z nás.“ Co vlastně autorka takovýmto způsobem vyjadřování sděluje? Že se všichni vyvíjíme a řeč je vývojovým obdobím? V mnoha pasážích tak chybí idea či pevné vymezení sdíleného obsahu. Formulační a stylistické neobratnosti rovněž vtahují autorku příliš do popisovaných jevů a text získává úvahov</w:t>
            </w:r>
            <w:r w:rsidR="009834CD">
              <w:rPr>
                <w:rFonts w:ascii="Arial" w:hAnsi="Arial" w:cs="Arial"/>
              </w:rPr>
              <w:t>ou</w:t>
            </w:r>
            <w:r w:rsidR="003A63B2">
              <w:rPr>
                <w:rFonts w:ascii="Arial" w:hAnsi="Arial" w:cs="Arial"/>
              </w:rPr>
              <w:t xml:space="preserve"> podob</w:t>
            </w:r>
            <w:r w:rsidR="009834CD">
              <w:rPr>
                <w:rFonts w:ascii="Arial" w:hAnsi="Arial" w:cs="Arial"/>
              </w:rPr>
              <w:t>u</w:t>
            </w:r>
            <w:r w:rsidR="003A63B2">
              <w:rPr>
                <w:rFonts w:ascii="Arial" w:hAnsi="Arial" w:cs="Arial"/>
              </w:rPr>
              <w:t xml:space="preserve"> </w:t>
            </w:r>
            <w:r w:rsidR="00C10993">
              <w:rPr>
                <w:rFonts w:ascii="Arial" w:hAnsi="Arial" w:cs="Arial"/>
              </w:rPr>
              <w:t xml:space="preserve">typu </w:t>
            </w:r>
            <w:r w:rsidR="003A63B2">
              <w:rPr>
                <w:rFonts w:ascii="Arial" w:hAnsi="Arial" w:cs="Arial"/>
              </w:rPr>
              <w:t>„dle mého názoru“</w:t>
            </w:r>
            <w:r w:rsidR="00C10993">
              <w:rPr>
                <w:rFonts w:ascii="Arial" w:hAnsi="Arial" w:cs="Arial"/>
              </w:rPr>
              <w:t xml:space="preserve"> (s. 31: „Na štěstí si dovoluji říci…“)</w:t>
            </w:r>
            <w:r w:rsidR="003A63B2">
              <w:rPr>
                <w:rFonts w:ascii="Arial" w:hAnsi="Arial" w:cs="Arial"/>
              </w:rPr>
              <w:t xml:space="preserve">, která však prosakuje i do míst, kde je na překážku odborného vyjádření (s. 14: „Jinak nelze dosáhnout jejího vývoje přesně podle </w:t>
            </w:r>
            <w:r w:rsidR="003A63B2">
              <w:rPr>
                <w:rFonts w:ascii="Arial" w:hAnsi="Arial" w:cs="Arial"/>
              </w:rPr>
              <w:lastRenderedPageBreak/>
              <w:t>našich představ.</w:t>
            </w:r>
            <w:r w:rsidR="00C10993">
              <w:rPr>
                <w:rFonts w:ascii="Arial" w:hAnsi="Arial" w:cs="Arial"/>
              </w:rPr>
              <w:t>“),</w:t>
            </w:r>
            <w:r w:rsidR="003A63B2">
              <w:rPr>
                <w:rFonts w:ascii="Arial" w:hAnsi="Arial" w:cs="Arial"/>
              </w:rPr>
              <w:t xml:space="preserve"> vztaženého i k těm </w:t>
            </w:r>
            <w:r w:rsidR="00C10993">
              <w:rPr>
                <w:rFonts w:ascii="Arial" w:hAnsi="Arial" w:cs="Arial"/>
              </w:rPr>
              <w:t>nejobecnějším poznatkům</w:t>
            </w:r>
            <w:r w:rsidR="003A63B2">
              <w:rPr>
                <w:rFonts w:ascii="Arial" w:hAnsi="Arial" w:cs="Arial"/>
              </w:rPr>
              <w:t xml:space="preserve"> </w:t>
            </w:r>
            <w:r w:rsidR="00C10993">
              <w:rPr>
                <w:rFonts w:ascii="Arial" w:hAnsi="Arial" w:cs="Arial"/>
              </w:rPr>
              <w:t xml:space="preserve">(s. 30: </w:t>
            </w:r>
            <w:r w:rsidR="003A63B2">
              <w:rPr>
                <w:rFonts w:ascii="Arial" w:hAnsi="Arial" w:cs="Arial"/>
              </w:rPr>
              <w:t>„Pozorování je považováno už od nepaměti za nejrozšířenější metodu pro sběr dat.“</w:t>
            </w:r>
            <w:r w:rsidR="009834CD">
              <w:rPr>
                <w:rFonts w:ascii="Arial" w:hAnsi="Arial" w:cs="Arial"/>
              </w:rPr>
              <w:t>).</w:t>
            </w:r>
            <w:r w:rsidR="003A63B2">
              <w:rPr>
                <w:rFonts w:ascii="Arial" w:hAnsi="Arial" w:cs="Arial"/>
              </w:rPr>
              <w:t xml:space="preserve"> Opravdu</w:t>
            </w:r>
            <w:r w:rsidR="00C10993">
              <w:rPr>
                <w:rFonts w:ascii="Arial" w:hAnsi="Arial" w:cs="Arial"/>
              </w:rPr>
              <w:t xml:space="preserve"> má vývoj řeči probíhat podle našich představ a pozorování je nejrozšířenější metodou odnepaměti</w:t>
            </w:r>
            <w:r w:rsidR="003A63B2">
              <w:rPr>
                <w:rFonts w:ascii="Arial" w:hAnsi="Arial" w:cs="Arial"/>
              </w:rPr>
              <w:t xml:space="preserve">? Takové beletristické formulace však </w:t>
            </w:r>
            <w:proofErr w:type="spellStart"/>
            <w:r w:rsidR="003A63B2">
              <w:rPr>
                <w:rFonts w:ascii="Arial" w:hAnsi="Arial" w:cs="Arial"/>
              </w:rPr>
              <w:t>znepřehledňují</w:t>
            </w:r>
            <w:proofErr w:type="spellEnd"/>
            <w:r w:rsidR="003A63B2">
              <w:rPr>
                <w:rFonts w:ascii="Arial" w:hAnsi="Arial" w:cs="Arial"/>
              </w:rPr>
              <w:t xml:space="preserve"> a komplikují význam zapsaných slov</w:t>
            </w:r>
            <w:r w:rsidR="009834CD">
              <w:rPr>
                <w:rFonts w:ascii="Arial" w:hAnsi="Arial" w:cs="Arial"/>
              </w:rPr>
              <w:t xml:space="preserve"> a sdílených myšlenek</w:t>
            </w:r>
            <w:r w:rsidR="003A63B2">
              <w:rPr>
                <w:rFonts w:ascii="Arial" w:hAnsi="Arial" w:cs="Arial"/>
              </w:rPr>
              <w:t>. Bylo by potřebné velmi razantní editorské práce, aby čtenář pochopil smysl psaného textu.</w:t>
            </w:r>
            <w:r w:rsidR="00C10993">
              <w:rPr>
                <w:rFonts w:ascii="Arial" w:hAnsi="Arial" w:cs="Arial"/>
              </w:rPr>
              <w:t xml:space="preserve"> Potom zcela chvályhodný záměr</w:t>
            </w:r>
            <w:r w:rsidR="00087907">
              <w:rPr>
                <w:rFonts w:ascii="Arial" w:hAnsi="Arial" w:cs="Arial"/>
              </w:rPr>
              <w:t>, totiž</w:t>
            </w:r>
            <w:r w:rsidR="00C10993">
              <w:rPr>
                <w:rFonts w:ascii="Arial" w:hAnsi="Arial" w:cs="Arial"/>
              </w:rPr>
              <w:t xml:space="preserve"> zpřesnit používanou terminologii</w:t>
            </w:r>
            <w:r w:rsidR="00087907">
              <w:rPr>
                <w:rFonts w:ascii="Arial" w:hAnsi="Arial" w:cs="Arial"/>
              </w:rPr>
              <w:t>,</w:t>
            </w:r>
            <w:bookmarkStart w:id="0" w:name="_GoBack"/>
            <w:bookmarkEnd w:id="0"/>
            <w:r w:rsidR="00C10993">
              <w:rPr>
                <w:rFonts w:ascii="Arial" w:hAnsi="Arial" w:cs="Arial"/>
              </w:rPr>
              <w:t xml:space="preserve"> tvrdí </w:t>
            </w:r>
            <w:r w:rsidR="009834CD">
              <w:rPr>
                <w:rFonts w:ascii="Arial" w:hAnsi="Arial" w:cs="Arial"/>
              </w:rPr>
              <w:t xml:space="preserve">vlastně </w:t>
            </w:r>
            <w:r w:rsidR="00C10993">
              <w:rPr>
                <w:rFonts w:ascii="Arial" w:hAnsi="Arial" w:cs="Arial"/>
              </w:rPr>
              <w:t>svůj opak (s. 13: „Tyto pojmy jsem se snažila ve své bakalářské práci použít i z toho důvodu, že jsou v běžném životě používány nesprávně.“) či dochází k definici v kruhu (s. 12, první věta). Práce by si vyžadovala ještě důkladné promyšlení každého použitého slova a významu, který nese: je důvodem členění RVP PV do pěti vzdělávacích oblastí skutečně pouze přehlednost (s. 18)? A opravdu dostupnost školy autem a autobusem znamená, že je „přístupná všem“ (s. 33)? K jazykovým nešvarům se řadí kromě nepřesného používání pojmů a nejasného formulování myšlenek či stylistických neobratností i pravopisné chyby, zejména v interpunkci.</w:t>
            </w:r>
          </w:p>
          <w:p w:rsidR="005B471E" w:rsidRDefault="005B471E" w:rsidP="00C10993">
            <w:pPr>
              <w:spacing w:after="0" w:line="240" w:lineRule="auto"/>
              <w:rPr>
                <w:rFonts w:ascii="Arial" w:hAnsi="Arial" w:cs="Arial"/>
              </w:rPr>
            </w:pPr>
            <w:r>
              <w:rPr>
                <w:rFonts w:ascii="Arial" w:hAnsi="Arial" w:cs="Arial"/>
              </w:rPr>
              <w:t>Pravděpodobně i tento slabý důraz na význam používaných slov vede k tomu, že teoretická část sice člení komunikaci na verbální a neverbální (s. 12) a odlišuje jazykové roviny (s. 14-16), ale nedefinuje formy komunikace. Právě formy komunikace však mají být zkoumány. Hlavní zjištění, totiž že děti využívají verbální i neverbální komunikaci je tak snad až příliš ploché a vágní. Nedalo se totéž vysoudit již z teoretické části práce?</w:t>
            </w:r>
            <w:r w:rsidR="009834CD">
              <w:rPr>
                <w:rFonts w:ascii="Arial" w:hAnsi="Arial" w:cs="Arial"/>
              </w:rPr>
              <w:t xml:space="preserve"> Stejně tak je v teorii pojednáno o soupeření a spolupráci, o vývojových fázích skupiny, ale ani slovo o dětských strategiích při skupinové práci. Jenomže právě to má být zkoumáno – výsledkem tedy je, že děti využívají „nejrůznější strategie“ (s. 46). </w:t>
            </w:r>
            <w:r>
              <w:rPr>
                <w:rFonts w:ascii="Arial" w:hAnsi="Arial" w:cs="Arial"/>
              </w:rPr>
              <w:t>Text obsahuje i věcné rozpory a nesoulady, např. že děti byly ve věku 5 a 6 let (s. 32), resp. 5-7 let (s. 45).</w:t>
            </w:r>
          </w:p>
          <w:p w:rsidR="009834CD" w:rsidRDefault="009834CD" w:rsidP="00C10993">
            <w:pPr>
              <w:spacing w:after="0" w:line="240" w:lineRule="auto"/>
              <w:rPr>
                <w:rFonts w:ascii="Arial" w:hAnsi="Arial" w:cs="Arial"/>
              </w:rPr>
            </w:pPr>
            <w:r>
              <w:rPr>
                <w:rFonts w:ascii="Arial" w:hAnsi="Arial" w:cs="Arial"/>
              </w:rPr>
              <w:t>Přestože jsem se ve svém posouzení soustředil zejména na věcné chyby, formulační nepřesnosti, nepříliš přesvědčivé výsledky a tudíž zejména diskutabilní témata, uvědomuji si, že autorka odvedla velký kus práce při samotné realizaci výzkumu. Téma je zajímavé, metody adekvátní, časově náročná aktivita byla jistě smysluplná. Škoda jenom, že se nepodařilo adekvátně tuto činnost rovněž „prodat“ ve formě kvalitnější výzkumné zprávy v podobě bakalářské práce.</w:t>
            </w:r>
          </w:p>
          <w:p w:rsidR="00C10993" w:rsidRPr="007708A0" w:rsidRDefault="00C10993" w:rsidP="005B471E">
            <w:pPr>
              <w:spacing w:after="0" w:line="240" w:lineRule="auto"/>
              <w:rPr>
                <w:rFonts w:ascii="Arial" w:hAnsi="Arial" w:cs="Arial"/>
              </w:rPr>
            </w:pPr>
          </w:p>
        </w:tc>
      </w:tr>
      <w:tr w:rsidR="00840F11" w:rsidRPr="007708A0" w:rsidTr="00957D02">
        <w:tc>
          <w:tcPr>
            <w:tcW w:w="5000" w:type="pct"/>
            <w:gridSpan w:val="8"/>
          </w:tcPr>
          <w:p w:rsidR="00840F11" w:rsidRPr="007708A0" w:rsidRDefault="00840F11" w:rsidP="00957D02">
            <w:pPr>
              <w:spacing w:after="0" w:line="240" w:lineRule="auto"/>
              <w:rPr>
                <w:rFonts w:ascii="Arial" w:hAnsi="Arial" w:cs="Arial"/>
                <w:b/>
              </w:rPr>
            </w:pPr>
            <w:r w:rsidRPr="007708A0">
              <w:rPr>
                <w:rFonts w:ascii="Arial" w:hAnsi="Arial" w:cs="Arial"/>
                <w:b/>
              </w:rPr>
              <w:lastRenderedPageBreak/>
              <w:t>Otázky k obhajobě:</w:t>
            </w:r>
          </w:p>
          <w:p w:rsidR="00724C5F" w:rsidRPr="007708A0" w:rsidRDefault="00840F11" w:rsidP="009834CD">
            <w:pPr>
              <w:spacing w:after="0" w:line="240" w:lineRule="auto"/>
              <w:rPr>
                <w:rFonts w:ascii="Arial" w:hAnsi="Arial" w:cs="Arial"/>
              </w:rPr>
            </w:pPr>
            <w:r w:rsidRPr="007708A0">
              <w:rPr>
                <w:rFonts w:ascii="Arial" w:hAnsi="Arial" w:cs="Arial"/>
              </w:rPr>
              <w:t>1</w:t>
            </w:r>
            <w:r w:rsidR="009834CD">
              <w:rPr>
                <w:rFonts w:ascii="Arial" w:hAnsi="Arial" w:cs="Arial"/>
              </w:rPr>
              <w:t xml:space="preserve"> Můžete více charakterizovat jednotlivé strategie, jež děti při skupinové práci využívají? Jinými slovy: lze odpovědět na výzkumnou otázku 3 ještě jiným způsobem, než se vám podařilo v práci samotné? Lze vysledovat </w:t>
            </w:r>
            <w:r w:rsidR="00B20C86">
              <w:rPr>
                <w:rFonts w:ascii="Arial" w:hAnsi="Arial" w:cs="Arial"/>
              </w:rPr>
              <w:t xml:space="preserve">např. </w:t>
            </w:r>
            <w:r w:rsidR="009834CD">
              <w:rPr>
                <w:rFonts w:ascii="Arial" w:hAnsi="Arial" w:cs="Arial"/>
              </w:rPr>
              <w:t>nějakou klasifikaci či škálu, pomocí níž by bylo možno dojít k jistému upřesnění vašich výsledků?</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p>
        </w:tc>
        <w:tc>
          <w:tcPr>
            <w:tcW w:w="216" w:type="pct"/>
          </w:tcPr>
          <w:p w:rsidR="00840F11" w:rsidRPr="007708A0" w:rsidRDefault="00840F11" w:rsidP="00957D02">
            <w:pPr>
              <w:spacing w:after="0" w:line="240" w:lineRule="auto"/>
              <w:rPr>
                <w:rFonts w:ascii="Arial" w:hAnsi="Arial" w:cs="Arial"/>
              </w:rPr>
            </w:pPr>
          </w:p>
        </w:tc>
        <w:tc>
          <w:tcPr>
            <w:tcW w:w="216" w:type="pct"/>
          </w:tcPr>
          <w:p w:rsidR="00840F11" w:rsidRPr="007708A0" w:rsidRDefault="005B471E" w:rsidP="00957D02">
            <w:pPr>
              <w:spacing w:after="0" w:line="240" w:lineRule="auto"/>
              <w:rPr>
                <w:rFonts w:ascii="Arial" w:hAnsi="Arial" w:cs="Arial"/>
              </w:rPr>
            </w:pPr>
            <w:r>
              <w:rPr>
                <w:rFonts w:ascii="Arial" w:hAnsi="Arial" w:cs="Arial"/>
              </w:rPr>
              <w:t>D</w:t>
            </w:r>
          </w:p>
        </w:tc>
        <w:tc>
          <w:tcPr>
            <w:tcW w:w="208" w:type="pct"/>
          </w:tcPr>
          <w:p w:rsidR="00840F11" w:rsidRPr="007708A0" w:rsidRDefault="00840F11" w:rsidP="00957D02">
            <w:pPr>
              <w:spacing w:after="0" w:line="240" w:lineRule="auto"/>
              <w:rPr>
                <w:rFonts w:ascii="Arial" w:hAnsi="Arial" w:cs="Arial"/>
              </w:rPr>
            </w:pPr>
          </w:p>
        </w:tc>
        <w:tc>
          <w:tcPr>
            <w:tcW w:w="201" w:type="pct"/>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vAlign w:val="center"/>
          </w:tcPr>
          <w:p w:rsidR="00840F11" w:rsidRPr="007708A0" w:rsidRDefault="00840F11" w:rsidP="008D6D37">
            <w:pPr>
              <w:spacing w:after="0" w:line="240" w:lineRule="auto"/>
              <w:rPr>
                <w:rFonts w:ascii="Arial" w:hAnsi="Arial" w:cs="Arial"/>
              </w:rPr>
            </w:pPr>
            <w:r w:rsidRPr="007708A0">
              <w:rPr>
                <w:rFonts w:ascii="Arial" w:hAnsi="Arial" w:cs="Arial"/>
              </w:rPr>
              <w:t>Datum:</w:t>
            </w:r>
            <w:r w:rsidR="00686528">
              <w:rPr>
                <w:rFonts w:ascii="Arial" w:hAnsi="Arial" w:cs="Arial"/>
              </w:rPr>
              <w:t xml:space="preserve"> </w:t>
            </w:r>
            <w:r w:rsidR="009834CD">
              <w:rPr>
                <w:rFonts w:ascii="Arial" w:hAnsi="Arial" w:cs="Arial"/>
              </w:rPr>
              <w:t>2. července 2020</w:t>
            </w:r>
          </w:p>
        </w:tc>
        <w:tc>
          <w:tcPr>
            <w:tcW w:w="1258" w:type="pct"/>
            <w:gridSpan w:val="6"/>
            <w:vAlign w:val="center"/>
          </w:tcPr>
          <w:p w:rsidR="00840F11" w:rsidRPr="007708A0" w:rsidRDefault="00840F11" w:rsidP="00957D02">
            <w:pPr>
              <w:spacing w:after="0" w:line="240" w:lineRule="auto"/>
              <w:rPr>
                <w:rFonts w:ascii="Arial" w:hAnsi="Arial" w:cs="Arial"/>
              </w:rPr>
            </w:pPr>
            <w:r w:rsidRPr="007708A0">
              <w:rPr>
                <w:rFonts w:ascii="Arial" w:hAnsi="Arial" w:cs="Arial"/>
              </w:rPr>
              <w:t>Podpis:</w:t>
            </w:r>
          </w:p>
        </w:tc>
      </w:tr>
    </w:tbl>
    <w:p w:rsidR="00840F11" w:rsidRDefault="00840F11" w:rsidP="00840F11"/>
    <w:p w:rsidR="00BD32D9" w:rsidRDefault="00CD4F4E"/>
    <w:sectPr w:rsidR="00BD32D9" w:rsidSect="006946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F4E" w:rsidRDefault="00CD4F4E" w:rsidP="00840F11">
      <w:pPr>
        <w:spacing w:after="0" w:line="240" w:lineRule="auto"/>
      </w:pPr>
      <w:r>
        <w:separator/>
      </w:r>
    </w:p>
  </w:endnote>
  <w:endnote w:type="continuationSeparator" w:id="0">
    <w:p w:rsidR="00CD4F4E" w:rsidRDefault="00CD4F4E"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F4E" w:rsidRDefault="00CD4F4E" w:rsidP="00840F11">
      <w:pPr>
        <w:spacing w:after="0" w:line="240" w:lineRule="auto"/>
      </w:pPr>
      <w:r>
        <w:separator/>
      </w:r>
    </w:p>
  </w:footnote>
  <w:footnote w:type="continuationSeparator" w:id="0">
    <w:p w:rsidR="00CD4F4E" w:rsidRDefault="00CD4F4E" w:rsidP="00840F11">
      <w:pPr>
        <w:spacing w:after="0" w:line="240" w:lineRule="auto"/>
      </w:pPr>
      <w:r>
        <w:continuationSeparator/>
      </w:r>
    </w:p>
  </w:footnote>
  <w:footnote w:id="1">
    <w:p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20006"/>
    <w:rsid w:val="00063CE1"/>
    <w:rsid w:val="00087907"/>
    <w:rsid w:val="002F1F54"/>
    <w:rsid w:val="00311212"/>
    <w:rsid w:val="003649D8"/>
    <w:rsid w:val="003A63B2"/>
    <w:rsid w:val="003C03DE"/>
    <w:rsid w:val="00415A31"/>
    <w:rsid w:val="00442257"/>
    <w:rsid w:val="0046105F"/>
    <w:rsid w:val="004B4E6B"/>
    <w:rsid w:val="004F278A"/>
    <w:rsid w:val="005B471E"/>
    <w:rsid w:val="0063019D"/>
    <w:rsid w:val="00637459"/>
    <w:rsid w:val="00653938"/>
    <w:rsid w:val="00686528"/>
    <w:rsid w:val="00694674"/>
    <w:rsid w:val="00724C5F"/>
    <w:rsid w:val="00774418"/>
    <w:rsid w:val="007C409A"/>
    <w:rsid w:val="00840F11"/>
    <w:rsid w:val="00872D91"/>
    <w:rsid w:val="008D1817"/>
    <w:rsid w:val="008D6D37"/>
    <w:rsid w:val="008F2415"/>
    <w:rsid w:val="009834CD"/>
    <w:rsid w:val="009A03DB"/>
    <w:rsid w:val="009A0A15"/>
    <w:rsid w:val="009C4D29"/>
    <w:rsid w:val="009D49EF"/>
    <w:rsid w:val="009D65E7"/>
    <w:rsid w:val="00A2271C"/>
    <w:rsid w:val="00A42709"/>
    <w:rsid w:val="00B20C86"/>
    <w:rsid w:val="00BC7A61"/>
    <w:rsid w:val="00BF0E2D"/>
    <w:rsid w:val="00C012E1"/>
    <w:rsid w:val="00C10993"/>
    <w:rsid w:val="00C67E53"/>
    <w:rsid w:val="00CD4F4E"/>
    <w:rsid w:val="00CF10B3"/>
    <w:rsid w:val="00D35437"/>
    <w:rsid w:val="00DB28C3"/>
    <w:rsid w:val="00EB4ABE"/>
    <w:rsid w:val="00EE34E7"/>
    <w:rsid w:val="00F53F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A0E9"/>
  <w15:docId w15:val="{FE159D76-C608-46E2-A83D-A831DBC8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 w:type="paragraph" w:styleId="Textbubliny">
    <w:name w:val="Balloon Text"/>
    <w:basedOn w:val="Normln"/>
    <w:link w:val="TextbublinyChar"/>
    <w:uiPriority w:val="99"/>
    <w:semiHidden/>
    <w:unhideWhenUsed/>
    <w:rsid w:val="002F1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1F5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783</Words>
  <Characters>4620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Wiegerová</dc:creator>
  <cp:lastModifiedBy>Ivo Jirásek</cp:lastModifiedBy>
  <cp:revision>3</cp:revision>
  <cp:lastPrinted>2018-05-02T12:55:00Z</cp:lastPrinted>
  <dcterms:created xsi:type="dcterms:W3CDTF">2020-07-02T14:41:00Z</dcterms:created>
  <dcterms:modified xsi:type="dcterms:W3CDTF">2020-07-02T14:43:00Z</dcterms:modified>
</cp:coreProperties>
</file>