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19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Klezl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419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Rodinné vztahy seniorů v ústavní a domácí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419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4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930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930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4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969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96971" w:rsidP="00F96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43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41D9F" w:rsidRDefault="00841D9F" w:rsidP="00841D9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841D9F" w:rsidRDefault="00841D9F" w:rsidP="00841D9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práce.</w:t>
            </w:r>
          </w:p>
          <w:p w:rsidR="00841D9F" w:rsidRDefault="00841D9F" w:rsidP="00841D9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jsou dobře centrovány k tématu práce.</w:t>
            </w:r>
          </w:p>
          <w:p w:rsidR="00DD47F8" w:rsidRPr="00841D9F" w:rsidRDefault="00DD47F8" w:rsidP="00841D9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Návrat k výzkumným otázkám. 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048D1" w:rsidRDefault="00BD1295" w:rsidP="006331B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Vadí mi negativní konotace, které se vinou celou prací, a které jsou přisuzovány</w:t>
            </w:r>
            <w:r w:rsidR="006048D1">
              <w:rPr>
                <w:sz w:val="22"/>
                <w:szCs w:val="22"/>
              </w:rPr>
              <w:t xml:space="preserve"> stáří</w:t>
            </w:r>
            <w:r>
              <w:rPr>
                <w:sz w:val="22"/>
                <w:szCs w:val="22"/>
              </w:rPr>
              <w:t>. Ocenila bych</w:t>
            </w:r>
            <w:r w:rsidR="006048D1">
              <w:rPr>
                <w:sz w:val="22"/>
                <w:szCs w:val="22"/>
              </w:rPr>
              <w:t xml:space="preserve"> větší akcent na pozitiva ve stáří (například jak se to podařilo v </w:t>
            </w:r>
            <w:proofErr w:type="spellStart"/>
            <w:r w:rsidR="006048D1">
              <w:rPr>
                <w:sz w:val="22"/>
                <w:szCs w:val="22"/>
              </w:rPr>
              <w:t>kp</w:t>
            </w:r>
            <w:proofErr w:type="spellEnd"/>
            <w:r w:rsidR="006048D1">
              <w:rPr>
                <w:sz w:val="22"/>
                <w:szCs w:val="22"/>
              </w:rPr>
              <w:t>. 1.3.3). Uvítala bych</w:t>
            </w:r>
            <w:r w:rsidR="00C44344">
              <w:rPr>
                <w:sz w:val="22"/>
                <w:szCs w:val="22"/>
              </w:rPr>
              <w:t xml:space="preserve"> méně předsudků</w:t>
            </w:r>
            <w:r w:rsidR="006048D1">
              <w:rPr>
                <w:sz w:val="22"/>
                <w:szCs w:val="22"/>
              </w:rPr>
              <w:t>.</w:t>
            </w:r>
          </w:p>
          <w:p w:rsidR="006048D1" w:rsidRDefault="006048D1" w:rsidP="006331B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pojednání o příspěvku na péči, zejména ve vztahu k péči v domácím prostředí.</w:t>
            </w:r>
          </w:p>
          <w:p w:rsidR="006331BA" w:rsidRDefault="006331BA" w:rsidP="006331B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zpracována stylem 1 odstavec =</w:t>
            </w:r>
            <w:r w:rsidR="00665EE5">
              <w:rPr>
                <w:sz w:val="22"/>
                <w:szCs w:val="22"/>
              </w:rPr>
              <w:t xml:space="preserve"> 1 zdroj, což není dostačující.</w:t>
            </w:r>
            <w:r w:rsidR="00BD1295">
              <w:rPr>
                <w:sz w:val="22"/>
                <w:szCs w:val="22"/>
              </w:rPr>
              <w:t xml:space="preserve"> Rozsáhlé pasáže jsou čerpány z jednoho zdroje (Vágnerové).</w:t>
            </w:r>
          </w:p>
          <w:p w:rsidR="00F930D2" w:rsidRPr="00C44344" w:rsidRDefault="00665EE5" w:rsidP="00C443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zužuje problematiku sociálních změn na jeden z jejich aspektů – odchod do důchodu. Vzhledem k názvu předchozích dvou podkapitol (fyziologické změny, psychologické změny) se nabízelo pojednat o sociálních změnách. Celá podkapitola je čerpána z jednoho zdroje</w:t>
            </w:r>
            <w:r w:rsidR="00BD1295">
              <w:rPr>
                <w:sz w:val="22"/>
                <w:szCs w:val="22"/>
              </w:rPr>
              <w:t>, obdobně kapitola 2.5</w:t>
            </w:r>
            <w:r>
              <w:rPr>
                <w:sz w:val="22"/>
                <w:szCs w:val="22"/>
              </w:rPr>
              <w:t xml:space="preserve">. </w:t>
            </w:r>
          </w:p>
          <w:p w:rsidR="00F930D2" w:rsidRPr="006331BA" w:rsidRDefault="00F930D2" w:rsidP="006331B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vybrané téma zpochybňuji význam kapitoly Historie rodiny.</w:t>
            </w:r>
            <w:r w:rsidR="00841D9F">
              <w:rPr>
                <w:sz w:val="22"/>
                <w:szCs w:val="22"/>
              </w:rPr>
              <w:t xml:space="preserve"> Naopak bych mnohem pečlivěji propracovala kapitolu o sociálních službách pro seniory.</w:t>
            </w:r>
          </w:p>
          <w:p w:rsidR="006048D1" w:rsidRDefault="006048D1" w:rsidP="006048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Strana devátá je bez textu, v práci se objevují také další nepřesnosti, formální chyby.</w:t>
            </w:r>
          </w:p>
          <w:p w:rsidR="00F96971" w:rsidRDefault="00F96971" w:rsidP="006048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práce. Př. První dílčí cíl evokuje užití kvantitativního přístupu („Zjistit, jak často se senioři se svou rodinou stýkají“, namísto „V jakých situacích se </w:t>
            </w:r>
            <w:proofErr w:type="gramStart"/>
            <w:r>
              <w:rPr>
                <w:sz w:val="22"/>
                <w:szCs w:val="22"/>
              </w:rPr>
              <w:t>senioři</w:t>
            </w:r>
            <w:proofErr w:type="gramEnd"/>
            <w:r>
              <w:rPr>
                <w:sz w:val="22"/>
                <w:szCs w:val="22"/>
              </w:rPr>
              <w:t xml:space="preserve">…“) </w:t>
            </w:r>
            <w:r w:rsidR="00DD47F8">
              <w:rPr>
                <w:sz w:val="22"/>
                <w:szCs w:val="22"/>
              </w:rPr>
              <w:t>Důsledkem je kvantifikace kvalitativních údajů ve shrnutí.</w:t>
            </w:r>
          </w:p>
          <w:p w:rsidR="0050773E" w:rsidRPr="0050773E" w:rsidRDefault="00421BDE" w:rsidP="0050773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analýze jsou sloučeny výpovědi informantů, kteří žijí v přirozeném sociálním prostředí a těch, kteří žijí v domově.</w:t>
            </w:r>
            <w:r w:rsidR="00C44344">
              <w:rPr>
                <w:sz w:val="22"/>
                <w:szCs w:val="22"/>
              </w:rPr>
              <w:t xml:space="preserve"> Někdy je těžké rozeznat, která „skupina“ </w:t>
            </w:r>
            <w:r>
              <w:rPr>
                <w:sz w:val="22"/>
                <w:szCs w:val="22"/>
              </w:rPr>
              <w:t>hovoří. V první fázi mohly být pro větší přehlednost analyzovány obě skupiny zvlášť.</w:t>
            </w:r>
          </w:p>
          <w:p w:rsidR="005B6532" w:rsidRDefault="005B6532" w:rsidP="006048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potvrzuje všeobecně známá (a základní) fakta.</w:t>
            </w:r>
          </w:p>
          <w:p w:rsidR="00F1326B" w:rsidRPr="005B6532" w:rsidRDefault="00F1326B" w:rsidP="005B653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B6532" w:rsidRDefault="005B6532" w:rsidP="005B6532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se odchyluje od tématu (a směřuje spíše k mezigeneračním vazbám). Autor doporučuje spolupráci s mateřskou školou a dobrovolníky. Nerozumím tomu, jak tato myšlenka souvisí s posilováním rodinných vazeb? </w:t>
            </w:r>
          </w:p>
          <w:p w:rsidR="00C44344" w:rsidRPr="00DD47F8" w:rsidRDefault="00C44344" w:rsidP="0050773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7C7F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1E00">
              <w:rPr>
                <w:sz w:val="22"/>
                <w:szCs w:val="22"/>
              </w:rPr>
              <w:t xml:space="preserve"> 9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567C"/>
    <w:multiLevelType w:val="hybridMultilevel"/>
    <w:tmpl w:val="B5CE2646"/>
    <w:lvl w:ilvl="0" w:tplc="40EAD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30751"/>
    <w:multiLevelType w:val="hybridMultilevel"/>
    <w:tmpl w:val="DECE0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D3E09"/>
    <w:multiLevelType w:val="hybridMultilevel"/>
    <w:tmpl w:val="7EA05C3E"/>
    <w:lvl w:ilvl="0" w:tplc="C7500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80700"/>
    <w:rsid w:val="00341958"/>
    <w:rsid w:val="00362AB0"/>
    <w:rsid w:val="00386EF2"/>
    <w:rsid w:val="003F5DA2"/>
    <w:rsid w:val="00421BDE"/>
    <w:rsid w:val="0050773E"/>
    <w:rsid w:val="00512982"/>
    <w:rsid w:val="00526D47"/>
    <w:rsid w:val="0055255D"/>
    <w:rsid w:val="005B6532"/>
    <w:rsid w:val="005C219A"/>
    <w:rsid w:val="006048D1"/>
    <w:rsid w:val="006331BA"/>
    <w:rsid w:val="00651711"/>
    <w:rsid w:val="00665EE5"/>
    <w:rsid w:val="006847E2"/>
    <w:rsid w:val="006D2D5F"/>
    <w:rsid w:val="006E0BF2"/>
    <w:rsid w:val="00710E94"/>
    <w:rsid w:val="00722ADE"/>
    <w:rsid w:val="007553A2"/>
    <w:rsid w:val="007C7F01"/>
    <w:rsid w:val="007D1898"/>
    <w:rsid w:val="00841D9F"/>
    <w:rsid w:val="008614B3"/>
    <w:rsid w:val="008D7526"/>
    <w:rsid w:val="0097018B"/>
    <w:rsid w:val="009A27D5"/>
    <w:rsid w:val="00A87230"/>
    <w:rsid w:val="00B411DB"/>
    <w:rsid w:val="00B70A3A"/>
    <w:rsid w:val="00BA3203"/>
    <w:rsid w:val="00BD1295"/>
    <w:rsid w:val="00BD56B1"/>
    <w:rsid w:val="00BF5774"/>
    <w:rsid w:val="00C44344"/>
    <w:rsid w:val="00C50B27"/>
    <w:rsid w:val="00CA1E00"/>
    <w:rsid w:val="00CA7D64"/>
    <w:rsid w:val="00D05C79"/>
    <w:rsid w:val="00D62A5B"/>
    <w:rsid w:val="00DC1BF5"/>
    <w:rsid w:val="00DD47F8"/>
    <w:rsid w:val="00DD7D87"/>
    <w:rsid w:val="00E709EA"/>
    <w:rsid w:val="00ED2FBE"/>
    <w:rsid w:val="00F1326B"/>
    <w:rsid w:val="00F930D2"/>
    <w:rsid w:val="00F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C0830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170</TotalTime>
  <Pages>2</Pages>
  <Words>456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24</cp:revision>
  <cp:lastPrinted>2012-04-25T08:21:00Z</cp:lastPrinted>
  <dcterms:created xsi:type="dcterms:W3CDTF">2019-05-04T11:10:00Z</dcterms:created>
  <dcterms:modified xsi:type="dcterms:W3CDTF">2019-05-11T21:29:00Z</dcterms:modified>
</cp:coreProperties>
</file>