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4582">
        <w:rPr>
          <w:b/>
          <w:i/>
          <w:sz w:val="22"/>
          <w:szCs w:val="22"/>
        </w:rPr>
        <w:t xml:space="preserve">Bc. Adam </w:t>
      </w:r>
      <w:proofErr w:type="spellStart"/>
      <w:r w:rsidR="005A4582">
        <w:rPr>
          <w:b/>
          <w:i/>
          <w:sz w:val="22"/>
          <w:szCs w:val="22"/>
        </w:rPr>
        <w:t>Chudíček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4582">
        <w:rPr>
          <w:b/>
          <w:i/>
          <w:sz w:val="22"/>
          <w:szCs w:val="22"/>
        </w:rPr>
        <w:t>Ing. Blanka Jarolímová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A4582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A4582">
        <w:rPr>
          <w:b/>
          <w:i/>
          <w:sz w:val="22"/>
          <w:szCs w:val="22"/>
        </w:rPr>
        <w:t>Daňové a celní aspekty pořízení automobilů z Evropské unie a třetí země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582">
              <w:rPr>
                <w:b/>
                <w:snapToGrid w:val="0"/>
                <w:color w:val="000000"/>
              </w:rPr>
            </w:r>
            <w:r w:rsidR="00DA23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582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582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582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582">
              <w:rPr>
                <w:b/>
                <w:snapToGrid w:val="0"/>
                <w:color w:val="000000"/>
              </w:rPr>
            </w:r>
            <w:r w:rsidR="00DA23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582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582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582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582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4582">
              <w:rPr>
                <w:b/>
                <w:snapToGrid w:val="0"/>
                <w:color w:val="000000"/>
              </w:rPr>
            </w:r>
            <w:r w:rsidR="00DA23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582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582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4582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B33">
              <w:rPr>
                <w:b/>
                <w:snapToGrid w:val="0"/>
                <w:color w:val="000000"/>
              </w:rPr>
            </w:r>
            <w:r w:rsidR="00DA23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1FC6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1FC6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1FC6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41FC6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B33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B33">
              <w:rPr>
                <w:b/>
                <w:snapToGrid w:val="0"/>
                <w:color w:val="000000"/>
              </w:rPr>
            </w:r>
            <w:r w:rsidR="00DA23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B33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B33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B33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B33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B33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B33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B33">
              <w:rPr>
                <w:b/>
                <w:snapToGrid w:val="0"/>
                <w:color w:val="000000"/>
              </w:rPr>
            </w:r>
            <w:r w:rsidR="00DA236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B33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B33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B33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B33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1B33">
              <w:rPr>
                <w:snapToGrid w:val="0"/>
                <w:color w:val="000000"/>
              </w:rPr>
            </w:r>
            <w:r w:rsidR="00DA236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A1B33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F5FD9" w:rsidRPr="00AF5FD9">
        <w:rPr>
          <w:i/>
          <w:noProof/>
        </w:rPr>
        <w:t xml:space="preserve">Práce svou náročností odpovídá zaměření a studijnímu oboru. Téma zabývající povinnostmi daňového subjektu při pořizování automobilů z jiných členských států Evropské unie a dovozu je poměrně složité a obsáhlé. Obsah a struktura práce naplňuje zadání, její členění je logické. Teoretickou a následně i praktickou část zpracoval autor přehledně. Kladně hodnotím snahu o zpřehlednění řešené problematiky pomocí obrázků a vývojových schémat jednotlivých řešených situací. Po formální stránce je práce na dobré úrovni, i když lze nalézt některé nedostatky v podobě gramatických chyb. </w:t>
      </w:r>
      <w:bookmarkStart w:id="8" w:name="_GoBack"/>
      <w:bookmarkEnd w:id="8"/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A4582" w:rsidRPr="00AE58C9">
        <w:rPr>
          <w:i/>
        </w:rPr>
      </w:r>
      <w:r w:rsidR="00DA236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A4582">
        <w:rPr>
          <w:i/>
        </w:rPr>
      </w:r>
      <w:r w:rsidR="00DA236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A4582">
        <w:rPr>
          <w:i/>
        </w:rPr>
        <w:t>25.4. 2019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4582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1B33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5FD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1FC6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C831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3DEAED5-A02B-4E65-BA07-86275E45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Blanka Jarolímová</cp:lastModifiedBy>
  <cp:revision>8</cp:revision>
  <cp:lastPrinted>2014-07-24T08:52:00Z</cp:lastPrinted>
  <dcterms:created xsi:type="dcterms:W3CDTF">2018-04-24T10:14:00Z</dcterms:created>
  <dcterms:modified xsi:type="dcterms:W3CDTF">2019-04-25T11:40:00Z</dcterms:modified>
</cp:coreProperties>
</file>