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15E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Jana </w:t>
            </w:r>
            <w:proofErr w:type="spellStart"/>
            <w:r>
              <w:rPr>
                <w:sz w:val="22"/>
                <w:szCs w:val="22"/>
              </w:rPr>
              <w:t>Pavlacká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15E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záškoláctví na středních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15E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15E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15E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15EB8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15EB8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15EB8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15EB8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15EB8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15EB8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15EB8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15EB8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4642D" w:rsidRDefault="006847E2" w:rsidP="00C50B27">
            <w:pPr>
              <w:jc w:val="center"/>
              <w:rPr>
                <w:sz w:val="22"/>
                <w:szCs w:val="22"/>
              </w:rPr>
            </w:pPr>
            <w:r w:rsidRPr="0054642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54642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4642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B15EB8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15EB8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54642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4642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4642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4642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54642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4642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54642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4642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AE0DB8" w:rsidRDefault="00B411DB" w:rsidP="008614B3">
            <w:pPr>
              <w:jc w:val="center"/>
              <w:rPr>
                <w:sz w:val="22"/>
                <w:szCs w:val="22"/>
              </w:rPr>
            </w:pPr>
            <w:r w:rsidRPr="00AE0DB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AE0DB8" w:rsidRDefault="00B411DB" w:rsidP="008614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E0DB8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AE0DB8" w:rsidRDefault="00B411DB" w:rsidP="00C50B27">
            <w:pPr>
              <w:jc w:val="center"/>
              <w:rPr>
                <w:sz w:val="22"/>
                <w:szCs w:val="22"/>
              </w:rPr>
            </w:pPr>
            <w:r w:rsidRPr="00AE0DB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AE0DB8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E0DB8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15EB8" w:rsidRDefault="00B15E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 nereflektuje zcela obsah práce, konkrétně část věnovanou klimatu školy. Zásadním problémem je, že témata záškoláctví, klima školy a dospívání jsou zpracována převážně jako sam</w:t>
            </w:r>
            <w:r w:rsidR="0054642D">
              <w:rPr>
                <w:sz w:val="22"/>
                <w:szCs w:val="22"/>
              </w:rPr>
              <w:t>ostatné celky a nejsou</w:t>
            </w:r>
            <w:r w:rsidR="00AE0DB8">
              <w:rPr>
                <w:sz w:val="22"/>
                <w:szCs w:val="22"/>
              </w:rPr>
              <w:t xml:space="preserve"> jasněji</w:t>
            </w:r>
            <w:r w:rsidR="0054642D">
              <w:rPr>
                <w:sz w:val="22"/>
                <w:szCs w:val="22"/>
              </w:rPr>
              <w:t xml:space="preserve"> propojena</w:t>
            </w:r>
            <w:r>
              <w:rPr>
                <w:sz w:val="22"/>
                <w:szCs w:val="22"/>
              </w:rPr>
              <w:t xml:space="preserve"> dohromady, což je velmi důležité nejen z hlediska kvality TČ, ale i v návaznosti na PČ. Konečně souvislost záškoláctví a klimatu školy je uvedena i v cíli práce (s. 10).</w:t>
            </w:r>
            <w:r w:rsidR="00884624">
              <w:rPr>
                <w:sz w:val="22"/>
                <w:szCs w:val="22"/>
              </w:rPr>
              <w:t xml:space="preserve"> Text TČ považuji za poměrně povrchní, každého ze tří témat se dotýká jen okrajově. Vzhledem k šířce tématu bylo možné vycházet z širšího spektra zdrojů.</w:t>
            </w:r>
          </w:p>
          <w:p w:rsidR="00F1326B" w:rsidRPr="00C50B27" w:rsidRDefault="008846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Žádná z dílčích cílů nedává záškoláctví do souvislosti s klimatem školy, k této souvislosti je formulována až hypotéza H1 (s. 44). Dílčí výzkumné otázky nenavazují </w:t>
            </w:r>
            <w:r w:rsidR="0054642D">
              <w:rPr>
                <w:sz w:val="22"/>
                <w:szCs w:val="22"/>
              </w:rPr>
              <w:t xml:space="preserve">přímo </w:t>
            </w:r>
            <w:r>
              <w:rPr>
                <w:sz w:val="22"/>
                <w:szCs w:val="22"/>
              </w:rPr>
              <w:t>na dílčí výzkumné cíle, což působí nejasně (s. 44 – 45). O kvalitě výběru (d</w:t>
            </w:r>
            <w:r w:rsidR="0054642D">
              <w:rPr>
                <w:sz w:val="22"/>
                <w:szCs w:val="22"/>
              </w:rPr>
              <w:t>eklarován je stratifikovaný</w:t>
            </w:r>
            <w:r>
              <w:rPr>
                <w:sz w:val="22"/>
                <w:szCs w:val="22"/>
              </w:rPr>
              <w:t>) lze pochybovat. V rámci závěrečných prací se typicky real</w:t>
            </w:r>
            <w:r w:rsidR="009B3549">
              <w:rPr>
                <w:sz w:val="22"/>
                <w:szCs w:val="22"/>
              </w:rPr>
              <w:t>izují výběry dostupné / anketní.</w:t>
            </w:r>
            <w:r w:rsidR="0073467E">
              <w:rPr>
                <w:sz w:val="22"/>
                <w:szCs w:val="22"/>
              </w:rPr>
              <w:t xml:space="preserve"> Tím pádem je diskutabilní aplikace statistických testů, které mají být aplikovány na reprezentativní výběry o dostatečné velikosti vzhledem k síle testu. Problémem je, že stanovené hypotézy nejsou teoreticky podloženy. Dalším problémem je prezentace výsledků (především způsob užití sloupcových grafů</w:t>
            </w:r>
            <w:r w:rsidR="0054642D">
              <w:rPr>
                <w:sz w:val="22"/>
                <w:szCs w:val="22"/>
              </w:rPr>
              <w:t xml:space="preserve"> je</w:t>
            </w:r>
            <w:r w:rsidR="0073467E">
              <w:rPr>
                <w:sz w:val="22"/>
                <w:szCs w:val="22"/>
              </w:rPr>
              <w:t xml:space="preserve"> nevhodný). Výsledky testování hyp</w:t>
            </w:r>
            <w:r w:rsidR="0054642D">
              <w:rPr>
                <w:sz w:val="22"/>
                <w:szCs w:val="22"/>
              </w:rPr>
              <w:t>otéz nejsou řádně interpretovány. Chybí samostatná část věnovaná doporučením pro praxi a také limitům šetření.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73467E" w:rsidRDefault="00884624" w:rsidP="007346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3467E">
              <w:rPr>
                <w:sz w:val="22"/>
                <w:szCs w:val="22"/>
              </w:rPr>
              <w:t>Popište podrobně způsob tvorby výběru Vašeho výzkumného souboru.</w:t>
            </w:r>
          </w:p>
          <w:p w:rsidR="00B411DB" w:rsidRDefault="0073467E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o podrobnou interpretaci grafů č. 6 a 7 (s. 53, 54).</w:t>
            </w:r>
          </w:p>
          <w:p w:rsidR="0054642D" w:rsidRPr="0073467E" w:rsidRDefault="0054642D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co je „statistická významnost“.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AE0DB8" w:rsidRDefault="00B411DB" w:rsidP="00C50B27">
            <w:pPr>
              <w:jc w:val="center"/>
              <w:rPr>
                <w:sz w:val="22"/>
                <w:szCs w:val="22"/>
              </w:rPr>
            </w:pPr>
            <w:r w:rsidRPr="00AE0DB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AE0DB8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E0DB8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467E">
              <w:rPr>
                <w:sz w:val="22"/>
                <w:szCs w:val="22"/>
              </w:rPr>
              <w:t xml:space="preserve"> 29. 4. 2019 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D4DBB">
              <w:rPr>
                <w:sz w:val="22"/>
                <w:szCs w:val="22"/>
              </w:rPr>
              <w:t xml:space="preserve"> </w:t>
            </w:r>
            <w:r w:rsidR="004D4DBB">
              <w:rPr>
                <w:sz w:val="22"/>
                <w:szCs w:val="22"/>
              </w:rPr>
              <w:t>Mgr. Ilona Kočvarová, Ph.D., v.r.</w:t>
            </w:r>
            <w:bookmarkStart w:id="0" w:name="_GoBack"/>
            <w:bookmarkEnd w:id="0"/>
          </w:p>
          <w:p w:rsidR="0073467E" w:rsidRPr="00C50B27" w:rsidRDefault="0073467E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D21" w:rsidRDefault="00262D21">
      <w:r>
        <w:separator/>
      </w:r>
    </w:p>
  </w:endnote>
  <w:endnote w:type="continuationSeparator" w:id="0">
    <w:p w:rsidR="00262D21" w:rsidRDefault="0026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D21" w:rsidRDefault="00262D21">
      <w:r>
        <w:separator/>
      </w:r>
    </w:p>
  </w:footnote>
  <w:footnote w:type="continuationSeparator" w:id="0">
    <w:p w:rsidR="00262D21" w:rsidRDefault="00262D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3073"/>
    <w:multiLevelType w:val="hybridMultilevel"/>
    <w:tmpl w:val="D2A45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568D9"/>
    <w:multiLevelType w:val="hybridMultilevel"/>
    <w:tmpl w:val="090C6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B8"/>
    <w:rsid w:val="00262D21"/>
    <w:rsid w:val="00343653"/>
    <w:rsid w:val="00362AB0"/>
    <w:rsid w:val="003F5DA2"/>
    <w:rsid w:val="004D4DBB"/>
    <w:rsid w:val="00512982"/>
    <w:rsid w:val="00526D47"/>
    <w:rsid w:val="0054642D"/>
    <w:rsid w:val="0055255D"/>
    <w:rsid w:val="005C219A"/>
    <w:rsid w:val="006847E2"/>
    <w:rsid w:val="0073467E"/>
    <w:rsid w:val="008614B3"/>
    <w:rsid w:val="00884624"/>
    <w:rsid w:val="009B2248"/>
    <w:rsid w:val="009B3549"/>
    <w:rsid w:val="00A11DDA"/>
    <w:rsid w:val="00AE0DB8"/>
    <w:rsid w:val="00AF1740"/>
    <w:rsid w:val="00B15EB8"/>
    <w:rsid w:val="00B411DB"/>
    <w:rsid w:val="00BA3203"/>
    <w:rsid w:val="00C50B27"/>
    <w:rsid w:val="00CE0A8B"/>
    <w:rsid w:val="00DC1BF5"/>
    <w:rsid w:val="00E23F79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A0E06"/>
  <w15:chartTrackingRefBased/>
  <w15:docId w15:val="{49A76996-E6C5-492E-8401-44223657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3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79</TotalTime>
  <Pages>1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4</cp:revision>
  <cp:lastPrinted>2012-04-25T08:21:00Z</cp:lastPrinted>
  <dcterms:created xsi:type="dcterms:W3CDTF">2019-04-29T08:42:00Z</dcterms:created>
  <dcterms:modified xsi:type="dcterms:W3CDTF">2019-04-29T12:01:00Z</dcterms:modified>
</cp:coreProperties>
</file>