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81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8100A6">
              <w:rPr>
                <w:sz w:val="22"/>
                <w:szCs w:val="22"/>
              </w:rPr>
              <w:t>Klára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00A6" w:rsidP="00810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ve vybraných zařízeních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21F42" w:rsidRDefault="00221F42" w:rsidP="00F25A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práce, věnující se problematice kvality seniorů ve vybraných zařízeních ve Zlínském kraji, je jak po stránce teoretické, tak praktické prací průměrnou. Při jejím hodnocení jednoznačně převažují n</w:t>
            </w:r>
            <w:r w:rsidR="00F25A1F">
              <w:rPr>
                <w:sz w:val="22"/>
                <w:szCs w:val="22"/>
              </w:rPr>
              <w:t>egativa nad pozitiva (viz níže)</w:t>
            </w:r>
            <w:r>
              <w:rPr>
                <w:sz w:val="22"/>
                <w:szCs w:val="22"/>
              </w:rPr>
              <w:t>.</w:t>
            </w:r>
          </w:p>
          <w:p w:rsidR="00221F42" w:rsidRDefault="00221F42" w:rsidP="00362AB0">
            <w:pPr>
              <w:rPr>
                <w:sz w:val="22"/>
                <w:szCs w:val="22"/>
              </w:rPr>
            </w:pPr>
          </w:p>
          <w:p w:rsidR="00221F42" w:rsidRPr="00221F42" w:rsidRDefault="00221F42" w:rsidP="00362AB0">
            <w:pPr>
              <w:rPr>
                <w:b/>
                <w:sz w:val="22"/>
                <w:szCs w:val="22"/>
              </w:rPr>
            </w:pPr>
            <w:r w:rsidRPr="00221F42">
              <w:rPr>
                <w:b/>
                <w:sz w:val="22"/>
                <w:szCs w:val="22"/>
              </w:rPr>
              <w:t>Silné stránky:</w:t>
            </w:r>
          </w:p>
          <w:p w:rsidR="00B411DB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Mezi pozitiva práce lze jednoznačně řadit užití standardizovaného dotazníku kvality života SQUALA </w:t>
            </w:r>
            <w:r w:rsidR="00221F42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snahu srovnat rozdílné prožívání kvality života v domovech pro seniory a v domovech s pečovatelskou službou.</w:t>
            </w:r>
          </w:p>
          <w:p w:rsidR="000868A2" w:rsidRDefault="00086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Popis empirické část</w:t>
            </w:r>
            <w:r w:rsidR="00346D2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práce je standardní. Výzkumné otázky jsou přiměřeně strukturovány.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</w:p>
          <w:p w:rsidR="00221F42" w:rsidRPr="00221F42" w:rsidRDefault="00221F42" w:rsidP="00362AB0">
            <w:pPr>
              <w:rPr>
                <w:b/>
                <w:sz w:val="22"/>
                <w:szCs w:val="22"/>
              </w:rPr>
            </w:pPr>
            <w:r w:rsidRPr="00221F42">
              <w:rPr>
                <w:b/>
                <w:sz w:val="22"/>
                <w:szCs w:val="22"/>
              </w:rPr>
              <w:t>Slabé stránky: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Autorčina teoretická část práce sice pracuje s pestrou škálou titulů literatury, nicméně je z velké části založena na definicích nej</w:t>
            </w:r>
            <w:r w:rsidR="00346D26">
              <w:rPr>
                <w:sz w:val="22"/>
                <w:szCs w:val="22"/>
              </w:rPr>
              <w:t>rů</w:t>
            </w:r>
            <w:r>
              <w:rPr>
                <w:sz w:val="22"/>
                <w:szCs w:val="22"/>
              </w:rPr>
              <w:t xml:space="preserve">znějších teoretických pojmů a konceptů, které nejsou výrazněji syntetizovány. Nijak </w:t>
            </w:r>
            <w:r w:rsidR="00221F42">
              <w:rPr>
                <w:sz w:val="22"/>
                <w:szCs w:val="22"/>
              </w:rPr>
              <w:t xml:space="preserve">se s nimi v MDP </w:t>
            </w:r>
            <w:r>
              <w:rPr>
                <w:sz w:val="22"/>
                <w:szCs w:val="22"/>
              </w:rPr>
              <w:t>dále nepracuje, což vede k</w:t>
            </w:r>
            <w:r w:rsidR="00221F42">
              <w:rPr>
                <w:sz w:val="22"/>
                <w:szCs w:val="22"/>
              </w:rPr>
              <w:t xml:space="preserve"> tomu, že </w:t>
            </w:r>
            <w:r w:rsidR="00346D26">
              <w:rPr>
                <w:sz w:val="22"/>
                <w:szCs w:val="22"/>
              </w:rPr>
              <w:t xml:space="preserve">celá </w:t>
            </w:r>
            <w:r w:rsidR="00221F42">
              <w:rPr>
                <w:sz w:val="22"/>
                <w:szCs w:val="22"/>
              </w:rPr>
              <w:t xml:space="preserve">teoretická část </w:t>
            </w:r>
            <w:r>
              <w:rPr>
                <w:sz w:val="22"/>
                <w:szCs w:val="22"/>
              </w:rPr>
              <w:t>je velmi povrchní.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Za nevhodné považuji používání učebních textů jako zdrojů literatury. Učebnice nejsou vhodným odborným textem, z něhož by měla čerpat teoretická část </w:t>
            </w:r>
            <w:r w:rsidR="00221F42">
              <w:rPr>
                <w:sz w:val="22"/>
                <w:szCs w:val="22"/>
              </w:rPr>
              <w:t>MDP</w:t>
            </w:r>
            <w:r>
              <w:rPr>
                <w:sz w:val="22"/>
                <w:szCs w:val="22"/>
              </w:rPr>
              <w:t>.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Není jasná funkce některých pasáží teo</w:t>
            </w:r>
            <w:r w:rsidR="00346D26">
              <w:rPr>
                <w:sz w:val="22"/>
                <w:szCs w:val="22"/>
              </w:rPr>
              <w:t>retické část k celku textu, zvláště</w:t>
            </w:r>
            <w:r>
              <w:rPr>
                <w:sz w:val="22"/>
                <w:szCs w:val="22"/>
              </w:rPr>
              <w:t xml:space="preserve"> pro bližší porozumění kvalitě života seniorů; </w:t>
            </w:r>
            <w:r w:rsidR="00346D26">
              <w:rPr>
                <w:sz w:val="22"/>
                <w:szCs w:val="22"/>
              </w:rPr>
              <w:t xml:space="preserve">exemplárně se </w:t>
            </w:r>
            <w:r>
              <w:rPr>
                <w:sz w:val="22"/>
                <w:szCs w:val="22"/>
              </w:rPr>
              <w:t xml:space="preserve">to týká </w:t>
            </w:r>
            <w:r w:rsidR="00346D26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citací z publikace Klev</w:t>
            </w:r>
            <w:r w:rsidR="000868A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tové na str. 21, respektive definice různých typů smrti a umírání </w:t>
            </w:r>
            <w:r w:rsidR="00346D26">
              <w:rPr>
                <w:sz w:val="22"/>
                <w:szCs w:val="22"/>
              </w:rPr>
              <w:t xml:space="preserve">na dalších stranách </w:t>
            </w:r>
            <w:r>
              <w:rPr>
                <w:sz w:val="22"/>
                <w:szCs w:val="22"/>
              </w:rPr>
              <w:t>(</w:t>
            </w:r>
            <w:r w:rsidR="00346D26">
              <w:rPr>
                <w:sz w:val="22"/>
                <w:szCs w:val="22"/>
              </w:rPr>
              <w:t xml:space="preserve">viz </w:t>
            </w:r>
            <w:r>
              <w:rPr>
                <w:sz w:val="22"/>
                <w:szCs w:val="22"/>
              </w:rPr>
              <w:t>str. 22–23) aj.</w:t>
            </w:r>
          </w:p>
          <w:p w:rsidR="008100A6" w:rsidRDefault="008100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Rozhodně neplatí tvrzení autorky, podle něhož: „Praktická část </w:t>
            </w:r>
            <w:r w:rsidR="000868A2">
              <w:rPr>
                <w:sz w:val="22"/>
                <w:szCs w:val="22"/>
              </w:rPr>
              <w:t xml:space="preserve">mé diplomové </w:t>
            </w:r>
            <w:r>
              <w:rPr>
                <w:sz w:val="22"/>
                <w:szCs w:val="22"/>
              </w:rPr>
              <w:t xml:space="preserve">práce </w:t>
            </w:r>
            <w:r w:rsidR="000868A2">
              <w:rPr>
                <w:sz w:val="22"/>
                <w:szCs w:val="22"/>
              </w:rPr>
              <w:t>koresponduje s částí teoretickou (str. 43).“ Teoretická část práce je výrazně obecná a věnuje se celé řadě problémů buď povrchně, nebo které se studovaným tématem souvisejí jen velmi volně.</w:t>
            </w:r>
          </w:p>
          <w:p w:rsidR="000868A2" w:rsidRDefault="00086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Výzkumný cíl není příliš ambiciózní, ani velikost výzkumného vzorku (N = 110) není na poměry MDP příliš rozsáhlá.</w:t>
            </w:r>
          </w:p>
          <w:p w:rsidR="000868A2" w:rsidRDefault="00086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Výsledky šetření nepřinášejí příliš nového do poznání o kvalitě života seniorů v institucích sociálního zabezpečení.</w:t>
            </w:r>
          </w:p>
          <w:p w:rsidR="000868A2" w:rsidRDefault="00086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̶  Výsledky srovnání obou zařízení by bylo vhodnější realizovat sérií sloupcových či krabicových grafů, nikoliv čtyřmi oddělenými tabulkami, které srovnání stěžují.</w:t>
            </w:r>
          </w:p>
          <w:p w:rsidR="000868A2" w:rsidRDefault="00086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Autorka nerealizuje žádné statistické testování k prokázání statistické významnosti svých zjištění, a to ani pro testování hypotéz, které verifikuje pouze na základě výstupů z třídění prvního stupně (viz str. 67 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F1326B" w:rsidRPr="00C50B27" w:rsidRDefault="000868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Množství i kvalita odborné literatury jsou podprůměrné.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21F42" w:rsidRDefault="00221F42" w:rsidP="00221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mohla situace respondentů v institucionální péči ovlivnit validitu výsledků?</w:t>
            </w:r>
          </w:p>
          <w:p w:rsidR="00221F42" w:rsidRPr="00221F42" w:rsidRDefault="00221F42" w:rsidP="00221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hlavní rozdíly v kvalitě života seniorů v domově s pečovatelskou službou?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bookmarkStart w:id="0" w:name="_GoBack"/>
            <w:bookmarkEnd w:id="0"/>
            <w:r w:rsidR="000868A2">
              <w:rPr>
                <w:sz w:val="22"/>
                <w:szCs w:val="22"/>
              </w:rPr>
              <w:t xml:space="preserve"> 30. 04. 2018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68A2">
              <w:rPr>
                <w:sz w:val="22"/>
                <w:szCs w:val="22"/>
              </w:rPr>
              <w:t xml:space="preserve"> Mgr. Jan Kalenda, Ph.D. </w:t>
            </w:r>
            <w:proofErr w:type="gramStart"/>
            <w:r w:rsidR="000868A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81" w:rsidRDefault="00C72081">
      <w:r>
        <w:separator/>
      </w:r>
    </w:p>
  </w:endnote>
  <w:endnote w:type="continuationSeparator" w:id="0">
    <w:p w:rsidR="00C72081" w:rsidRDefault="00C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81" w:rsidRDefault="00C72081">
      <w:r>
        <w:separator/>
      </w:r>
    </w:p>
  </w:footnote>
  <w:footnote w:type="continuationSeparator" w:id="0">
    <w:p w:rsidR="00C72081" w:rsidRDefault="00C720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TQ3NjcxM7CwMDNX0lEKTi0uzszPAykwrAUAGx2SaSwAAAA="/>
  </w:docVars>
  <w:rsids>
    <w:rsidRoot w:val="00C823C0"/>
    <w:rsid w:val="000868A2"/>
    <w:rsid w:val="00106149"/>
    <w:rsid w:val="00221F42"/>
    <w:rsid w:val="002D76F6"/>
    <w:rsid w:val="00346D26"/>
    <w:rsid w:val="00362AB0"/>
    <w:rsid w:val="003F5DA2"/>
    <w:rsid w:val="00401EB0"/>
    <w:rsid w:val="00512982"/>
    <w:rsid w:val="00526D47"/>
    <w:rsid w:val="0055255D"/>
    <w:rsid w:val="005C219A"/>
    <w:rsid w:val="006847E2"/>
    <w:rsid w:val="008100A6"/>
    <w:rsid w:val="008614B3"/>
    <w:rsid w:val="009B2248"/>
    <w:rsid w:val="00AF1740"/>
    <w:rsid w:val="00B1429B"/>
    <w:rsid w:val="00B411DB"/>
    <w:rsid w:val="00BA3203"/>
    <w:rsid w:val="00C50B27"/>
    <w:rsid w:val="00C72081"/>
    <w:rsid w:val="00C823C0"/>
    <w:rsid w:val="00CC4B67"/>
    <w:rsid w:val="00CE0A8B"/>
    <w:rsid w:val="00DC1BF5"/>
    <w:rsid w:val="00E67C85"/>
    <w:rsid w:val="00E7015E"/>
    <w:rsid w:val="00E709EA"/>
    <w:rsid w:val="00F1326B"/>
    <w:rsid w:val="00F2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8DC89"/>
  <w15:chartTrackingRefBased/>
  <w15:docId w15:val="{F495473C-4158-474E-86F3-7B97E89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346D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Microsoft\Windows\Temporary%20Internet%20Files\Content.Outlook\PYC5K9KX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31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9</cp:revision>
  <cp:lastPrinted>2018-05-02T13:22:00Z</cp:lastPrinted>
  <dcterms:created xsi:type="dcterms:W3CDTF">2018-04-27T13:20:00Z</dcterms:created>
  <dcterms:modified xsi:type="dcterms:W3CDTF">2018-05-02T13:27:00Z</dcterms:modified>
</cp:coreProperties>
</file>