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D34E7" w:rsidP="00C50B27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POSUDEK OPONENTA</w:t>
            </w:r>
            <w:r w:rsidR="006847E2"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="006847E2"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B6492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Kristýna Fuksová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B6492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Vzdělávání seniorů ve městě Kroměříž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61153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Ilona Kočvarová,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61153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B6492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B6492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B6492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B6492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B6492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B6492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B6492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B6492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F14F9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F14F9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F14F9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F14F9D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F14F9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F14F9D" w:rsidRDefault="00B6492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práci nacházím občasné nedostatky v oblasti formátování a jazyka.</w:t>
            </w:r>
            <w:r w:rsidR="00F14F9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Cíl práce jako celku není jednoznačně stanoven.</w:t>
            </w:r>
            <w:r w:rsidR="00E82CD9"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Teoretická</w:t>
            </w:r>
            <w:proofErr w:type="gramEnd"/>
            <w:r>
              <w:rPr>
                <w:sz w:val="22"/>
                <w:szCs w:val="22"/>
              </w:rPr>
              <w:t xml:space="preserve"> část je tematicky bohatá, avšak nepříliš konzistentní.</w:t>
            </w:r>
            <w:r w:rsidR="00F14F9D">
              <w:rPr>
                <w:sz w:val="22"/>
                <w:szCs w:val="22"/>
              </w:rPr>
              <w:t xml:space="preserve"> </w:t>
            </w:r>
          </w:p>
          <w:p w:rsidR="00F14F9D" w:rsidRDefault="00F14F9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Nekonzistentnost je charakteristická také pro praktickou část. </w:t>
            </w:r>
            <w:r w:rsidR="00B64920">
              <w:rPr>
                <w:sz w:val="22"/>
                <w:szCs w:val="22"/>
              </w:rPr>
              <w:t>Cíl a dílčí cíle praktické části taktéž nejsou jednoznačné (s. 46-47), má jít o názory seniorů na potřebnost a kvalitu vzdělávání, možnosti vzdělávání seniorů, nebo o návštěvnost seniorů v oblasti vzdělávání? Pokud jde o sledování rozdílů mezi vytyčenými skupinami, proč nejsou reflektovány také v dílčích cílech? Obecně řečeno, pokaždé je zaměření praktické části formulováno trochu jinak.</w:t>
            </w:r>
            <w:r w:rsidR="00754FEC">
              <w:rPr>
                <w:sz w:val="22"/>
                <w:szCs w:val="22"/>
              </w:rPr>
              <w:t xml:space="preserve"> Projevuje se to i v dotazníku, jehož některé položky se stanovenými cíli nekorespondují.</w:t>
            </w:r>
            <w:r>
              <w:rPr>
                <w:sz w:val="22"/>
                <w:szCs w:val="22"/>
              </w:rPr>
              <w:t xml:space="preserve"> </w:t>
            </w:r>
          </w:p>
          <w:p w:rsidR="00B64920" w:rsidRDefault="00B6492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praktické části nejsou formulovány věcné, ale pouze statistické hypotézy. </w:t>
            </w:r>
            <w:r w:rsidR="00754FEC">
              <w:rPr>
                <w:sz w:val="22"/>
                <w:szCs w:val="22"/>
              </w:rPr>
              <w:t>Vzhledem k tomu, že se jedná o dostupný výběr respondentů, je však statistické testování, a tedy zobecňování z výběru na populac</w:t>
            </w:r>
            <w:r w:rsidR="00E82CD9">
              <w:rPr>
                <w:sz w:val="22"/>
                <w:szCs w:val="22"/>
              </w:rPr>
              <w:t>i, vysoce diskutabilní, což nijak</w:t>
            </w:r>
            <w:r w:rsidR="00754FEC">
              <w:rPr>
                <w:sz w:val="22"/>
                <w:szCs w:val="22"/>
              </w:rPr>
              <w:t xml:space="preserve"> není reflektováno v limitech práce. Navíc, tabulka využitá pro testování hypotézy H2 (s. 68), nesplňuje požadavky na aplikaci testu (blíže viz v práci citovan</w:t>
            </w:r>
            <w:r w:rsidR="00E82CD9">
              <w:rPr>
                <w:sz w:val="22"/>
                <w:szCs w:val="22"/>
              </w:rPr>
              <w:t xml:space="preserve">á publikace </w:t>
            </w:r>
            <w:proofErr w:type="spellStart"/>
            <w:r w:rsidR="00E82CD9">
              <w:rPr>
                <w:sz w:val="22"/>
                <w:szCs w:val="22"/>
              </w:rPr>
              <w:t>Chrásky</w:t>
            </w:r>
            <w:proofErr w:type="spellEnd"/>
            <w:r w:rsidR="00E82CD9">
              <w:rPr>
                <w:sz w:val="22"/>
                <w:szCs w:val="22"/>
              </w:rPr>
              <w:t>, 2016</w:t>
            </w:r>
            <w:bookmarkStart w:id="0" w:name="_GoBack"/>
            <w:bookmarkEnd w:id="0"/>
            <w:r w:rsidR="00E82CD9">
              <w:rPr>
                <w:sz w:val="22"/>
                <w:szCs w:val="22"/>
              </w:rPr>
              <w:t>, s. 71</w:t>
            </w:r>
            <w:r w:rsidR="00754FEC">
              <w:rPr>
                <w:sz w:val="22"/>
                <w:szCs w:val="22"/>
              </w:rPr>
              <w:t>).</w:t>
            </w:r>
          </w:p>
          <w:p w:rsidR="00B411DB" w:rsidRPr="00C50B27" w:rsidRDefault="00754FEC" w:rsidP="00F14F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Pokud jde o analýzu dat, očekávala bych </w:t>
            </w:r>
            <w:r w:rsidR="00F14F9D">
              <w:rPr>
                <w:sz w:val="22"/>
                <w:szCs w:val="22"/>
              </w:rPr>
              <w:t xml:space="preserve">celkově </w:t>
            </w:r>
            <w:r>
              <w:rPr>
                <w:sz w:val="22"/>
                <w:szCs w:val="22"/>
              </w:rPr>
              <w:t>hlubší interpretaci a syntézu zjištěných výsledků. Většinou je prezentován graf a pod ním pouze opis informací, které obsahuje, bez další přidané hodnoty.</w:t>
            </w:r>
            <w:r w:rsidR="00F14F9D">
              <w:rPr>
                <w:sz w:val="22"/>
                <w:szCs w:val="22"/>
              </w:rPr>
              <w:t xml:space="preserve"> Stejně je tomu i u již zmiňované hypotézy H2 – pokud má dosažené vzdělání vliv na účast seniorů ve vzdělávání, tak jaký? V čem se projevuje?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F14F9D" w:rsidRDefault="00F14F9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Pokuste se reflektovat nejzásadnější limity Vašeho šetření.</w:t>
            </w:r>
          </w:p>
          <w:p w:rsidR="00B411DB" w:rsidRPr="00C50B27" w:rsidRDefault="00F14F9D" w:rsidP="002F2F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 lze interpretovat v práci „podpořený“ závěr o tom, že nejvyšší dosažené vzdělání má vliv na účast seniorů ve vzdělávání?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F14F9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F14F9D">
              <w:rPr>
                <w:sz w:val="22"/>
                <w:szCs w:val="22"/>
              </w:rPr>
              <w:t xml:space="preserve"> 4. 5. 2018</w:t>
            </w:r>
          </w:p>
        </w:tc>
        <w:tc>
          <w:tcPr>
            <w:tcW w:w="5760" w:type="dxa"/>
            <w:gridSpan w:val="7"/>
            <w:vAlign w:val="center"/>
          </w:tcPr>
          <w:p w:rsidR="00B411DB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  <w:p w:rsidR="00CC57EF" w:rsidRPr="00C50B27" w:rsidRDefault="00CC57EF" w:rsidP="00362AB0">
            <w:pPr>
              <w:rPr>
                <w:sz w:val="22"/>
                <w:szCs w:val="22"/>
              </w:rPr>
            </w:pP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1092" w:rsidRDefault="008E1092">
      <w:r>
        <w:separator/>
      </w:r>
    </w:p>
  </w:endnote>
  <w:endnote w:type="continuationSeparator" w:id="0">
    <w:p w:rsidR="008E1092" w:rsidRDefault="008E1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1092" w:rsidRDefault="008E1092">
      <w:r>
        <w:separator/>
      </w:r>
    </w:p>
  </w:footnote>
  <w:footnote w:type="continuationSeparator" w:id="0">
    <w:p w:rsidR="008E1092" w:rsidRDefault="008E1092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EFC"/>
    <w:rsid w:val="002F2FA4"/>
    <w:rsid w:val="00362AB0"/>
    <w:rsid w:val="003F5DA2"/>
    <w:rsid w:val="004418B6"/>
    <w:rsid w:val="004923EC"/>
    <w:rsid w:val="00512982"/>
    <w:rsid w:val="00514664"/>
    <w:rsid w:val="00526D47"/>
    <w:rsid w:val="00537EFC"/>
    <w:rsid w:val="0055255D"/>
    <w:rsid w:val="005C219A"/>
    <w:rsid w:val="00611532"/>
    <w:rsid w:val="006847E2"/>
    <w:rsid w:val="006D34E7"/>
    <w:rsid w:val="006E0350"/>
    <w:rsid w:val="0070056B"/>
    <w:rsid w:val="00754FEC"/>
    <w:rsid w:val="008E1092"/>
    <w:rsid w:val="00B411DB"/>
    <w:rsid w:val="00B64920"/>
    <w:rsid w:val="00BA3203"/>
    <w:rsid w:val="00C50B27"/>
    <w:rsid w:val="00CC57EF"/>
    <w:rsid w:val="00DC1BF5"/>
    <w:rsid w:val="00E2428A"/>
    <w:rsid w:val="00E709EA"/>
    <w:rsid w:val="00E82CD9"/>
    <w:rsid w:val="00E83040"/>
    <w:rsid w:val="00F14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15BA0E"/>
  <w15:docId w15:val="{895DFF5F-6E4C-4720-A287-F93F1CAEC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cvarova\Desktop\Pr&#225;ce\POSUDKY\POSUDEK%20VEDOUC&#205;HO%20DIPLOMOV&#201;%20PR&#193;CE_&#218;PV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PRÁCE_ÚPV</Template>
  <TotalTime>3</TotalTime>
  <Pages>1</Pages>
  <Words>433</Words>
  <Characters>2561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Kočvarová Ilona</dc:creator>
  <cp:lastModifiedBy>Ilona Kočvarová</cp:lastModifiedBy>
  <cp:revision>4</cp:revision>
  <cp:lastPrinted>2012-04-25T08:21:00Z</cp:lastPrinted>
  <dcterms:created xsi:type="dcterms:W3CDTF">2018-05-04T09:23:00Z</dcterms:created>
  <dcterms:modified xsi:type="dcterms:W3CDTF">2018-05-04T12:19:00Z</dcterms:modified>
</cp:coreProperties>
</file>