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24"/>
        <w:gridCol w:w="3527"/>
        <w:gridCol w:w="386"/>
        <w:gridCol w:w="390"/>
        <w:gridCol w:w="401"/>
        <w:gridCol w:w="401"/>
        <w:gridCol w:w="386"/>
        <w:gridCol w:w="37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AA4E8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Helena Chýlová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AA4E8E" w:rsidRDefault="00AA4E8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A4E8E">
              <w:rPr>
                <w:rFonts w:ascii="Arial" w:hAnsi="Arial" w:cs="Arial"/>
              </w:rPr>
              <w:t>Podpora adaptace dětí mladších tří let do prostředí mateřské školy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7708A0" w:rsidRDefault="00AA4E8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Hana Navrátilová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7708A0" w:rsidRDefault="00AA4E8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7708A0" w:rsidRDefault="00AA4E8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D85F7C" w:rsidRPr="007708A0" w:rsidTr="001E7C1A">
        <w:tc>
          <w:tcPr>
            <w:tcW w:w="18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6469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471A6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71A6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471A6E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471A6E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471A6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71A6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471A6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71A6E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471A6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71A6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471A6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71A6E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471A6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71A6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471A6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71A6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471A6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71A6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471A6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71A6E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471A6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71A6E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525188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25188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525188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525188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525188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25188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525188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25188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FE755A" w:rsidRDefault="00FE755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si vybrala téma práce, které mělo přispět k poznání problematiky zásadní změny v předškolním vzdělávání z pohledu učitelek MŠ.</w:t>
            </w:r>
          </w:p>
          <w:p w:rsidR="00D85F7C" w:rsidRDefault="00AA4E8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</w:t>
            </w:r>
            <w:r w:rsidR="003E383B">
              <w:rPr>
                <w:rFonts w:ascii="Arial" w:hAnsi="Arial" w:cs="Arial"/>
              </w:rPr>
              <w:t>oretická část práce obsahuje tři kapitoly, přičemž nejkompaktnější je první z nich. Kapitoly</w:t>
            </w:r>
            <w:r>
              <w:rPr>
                <w:rFonts w:ascii="Arial" w:hAnsi="Arial" w:cs="Arial"/>
              </w:rPr>
              <w:t xml:space="preserve"> 1.4.1 </w:t>
            </w:r>
            <w:r w:rsidR="003E383B">
              <w:rPr>
                <w:rFonts w:ascii="Arial" w:hAnsi="Arial" w:cs="Arial"/>
              </w:rPr>
              <w:t xml:space="preserve"> a 1.4.2 nejsou ovšem</w:t>
            </w:r>
            <w:r>
              <w:rPr>
                <w:rFonts w:ascii="Arial" w:hAnsi="Arial" w:cs="Arial"/>
              </w:rPr>
              <w:t xml:space="preserve"> vhod</w:t>
            </w:r>
            <w:r w:rsidR="003E383B">
              <w:rPr>
                <w:rFonts w:ascii="Arial" w:hAnsi="Arial" w:cs="Arial"/>
              </w:rPr>
              <w:t>ně zařazeny</w:t>
            </w:r>
            <w:r>
              <w:rPr>
                <w:rFonts w:ascii="Arial" w:hAnsi="Arial" w:cs="Arial"/>
              </w:rPr>
              <w:t xml:space="preserve"> k roli </w:t>
            </w:r>
            <w:r w:rsidR="003E383B">
              <w:rPr>
                <w:rFonts w:ascii="Arial" w:hAnsi="Arial" w:cs="Arial"/>
              </w:rPr>
              <w:t>učitele MŠ</w:t>
            </w:r>
            <w:r>
              <w:rPr>
                <w:rFonts w:ascii="Arial" w:hAnsi="Arial" w:cs="Arial"/>
              </w:rPr>
              <w:t>.</w:t>
            </w:r>
            <w:r w:rsidR="003E383B">
              <w:rPr>
                <w:rFonts w:ascii="Arial" w:hAnsi="Arial" w:cs="Arial"/>
              </w:rPr>
              <w:t xml:space="preserve"> Následující kapitola bohužel odbíhá od tématu práce - oblasti vývoje jsou popisovány celkově k předškolnímu věku. Systém vzdělávání dětí do 3 let pak nemá v textu návaznost, takže jednotlivé části netvoří vyvíjející se celek teoretického vstupu.</w:t>
            </w:r>
          </w:p>
          <w:p w:rsidR="003E383B" w:rsidRDefault="003E383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 získávání a analýzy dat byl pro autorku náročný, ale nakonec se s touto výz</w:t>
            </w:r>
            <w:r w:rsidR="00525188">
              <w:rPr>
                <w:rFonts w:ascii="Arial" w:hAnsi="Arial" w:cs="Arial"/>
              </w:rPr>
              <w:t>vou vypořádala poměrně úspěšně, jen bohužel podcenila časovou náročnost tohoto procesu. Významové kategorie jako výsledek analýzy dat by potřebovaly ještě dopracovat, aby skutečně ukazovaly na faktory podpory adaptace.</w:t>
            </w:r>
            <w:r w:rsidR="00FE755A">
              <w:rPr>
                <w:rFonts w:ascii="Arial" w:hAnsi="Arial" w:cs="Arial"/>
              </w:rPr>
              <w:t xml:space="preserve"> Autorka se snaží dostat nad úroveň popisné analýzy dat, roli hraje určitě i sdílení dané problematiky ve vlastní praxi.</w:t>
            </w:r>
          </w:p>
          <w:p w:rsidR="00525188" w:rsidRPr="007708A0" w:rsidRDefault="0052518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Kapitola 4 vykazuje v úvodu formální nedostatky – jen kusé informace tvořící podkapitoly, kapitole 4.1 nepředchází úvod k empirické části. Autorka dále </w:t>
            </w:r>
            <w:r w:rsidR="007A59D3">
              <w:rPr>
                <w:rFonts w:ascii="Arial" w:hAnsi="Arial" w:cs="Arial"/>
              </w:rPr>
              <w:t>špatně zmiňuje</w:t>
            </w:r>
            <w:r>
              <w:rPr>
                <w:rFonts w:ascii="Arial" w:hAnsi="Arial" w:cs="Arial"/>
              </w:rPr>
              <w:t xml:space="preserve"> intuitivní </w:t>
            </w:r>
            <w:r w:rsidR="007A59D3">
              <w:rPr>
                <w:rFonts w:ascii="Arial" w:hAnsi="Arial" w:cs="Arial"/>
              </w:rPr>
              <w:t xml:space="preserve">kódování </w:t>
            </w:r>
            <w:r w:rsidR="00FE755A">
              <w:rPr>
                <w:rFonts w:ascii="Arial" w:hAnsi="Arial" w:cs="Arial"/>
              </w:rPr>
              <w:t xml:space="preserve">nebo výsledky dotazníků, kdy se projevilo hektické zpracování této části práce na poslední chvíli </w:t>
            </w:r>
            <w:r w:rsidR="007A59D3">
              <w:rPr>
                <w:rFonts w:ascii="Arial" w:hAnsi="Arial" w:cs="Arial"/>
              </w:rPr>
              <w:t>(s. 33).</w:t>
            </w:r>
            <w:r w:rsidR="00FE755A">
              <w:rPr>
                <w:rFonts w:ascii="Arial" w:hAnsi="Arial" w:cs="Arial"/>
              </w:rPr>
              <w:t xml:space="preserve"> Také v interpretaci dat autorka užívá různou formu odlišení kategorií v textu (čísla, písmena), tato část je značně nepřehledná a celkově kategorie nevytvářejí provázaný systém.</w:t>
            </w:r>
          </w:p>
          <w:p w:rsidR="00D85F7C" w:rsidRDefault="00FE755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celkově ukazuje na potenciál autorky pracovat adekvátně tento typ kvalifikační práce, pokud by lépe nastavila přípravu zpracování jednotlivých kroků z hlediska časové náročnosti.</w:t>
            </w:r>
            <w:r w:rsidR="00BB7229">
              <w:rPr>
                <w:rFonts w:ascii="Arial" w:hAnsi="Arial" w:cs="Arial"/>
              </w:rPr>
              <w:t xml:space="preserve"> </w:t>
            </w:r>
          </w:p>
          <w:p w:rsidR="00FE755A" w:rsidRPr="007708A0" w:rsidRDefault="00FE755A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D85F7C" w:rsidRPr="007708A0" w:rsidRDefault="003E383B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čem spočívají komplexnější výchovné a výukové postupy v homogenních třídách, jak uvádíte na s. 18?</w:t>
            </w:r>
          </w:p>
          <w:p w:rsidR="00D85F7C" w:rsidRPr="007708A0" w:rsidRDefault="00BB7229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Specifikujte faktory podpory adaptace, které v závěru zahrnují jen rodinu a učitele.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D85F7C" w:rsidRPr="00471A6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71A6E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 w:rsidSect="004B5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8B4" w:rsidRDefault="00FF68B4" w:rsidP="00D85F7C">
      <w:pPr>
        <w:spacing w:after="0" w:line="240" w:lineRule="auto"/>
      </w:pPr>
      <w:r>
        <w:separator/>
      </w:r>
    </w:p>
  </w:endnote>
  <w:endnote w:type="continuationSeparator" w:id="0">
    <w:p w:rsidR="00FF68B4" w:rsidRDefault="00FF68B4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8B4" w:rsidRDefault="00FF68B4" w:rsidP="00D85F7C">
      <w:pPr>
        <w:spacing w:after="0" w:line="240" w:lineRule="auto"/>
      </w:pPr>
      <w:r>
        <w:separator/>
      </w:r>
    </w:p>
  </w:footnote>
  <w:footnote w:type="continuationSeparator" w:id="0">
    <w:p w:rsidR="00FF68B4" w:rsidRDefault="00FF68B4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010CC6"/>
    <w:rsid w:val="001E7C1A"/>
    <w:rsid w:val="003E383B"/>
    <w:rsid w:val="00471A6E"/>
    <w:rsid w:val="004B5744"/>
    <w:rsid w:val="00525188"/>
    <w:rsid w:val="0063570F"/>
    <w:rsid w:val="006F5539"/>
    <w:rsid w:val="007A59D3"/>
    <w:rsid w:val="00964696"/>
    <w:rsid w:val="009C4D29"/>
    <w:rsid w:val="00A76B7B"/>
    <w:rsid w:val="00AA4E8E"/>
    <w:rsid w:val="00BB7229"/>
    <w:rsid w:val="00C67E53"/>
    <w:rsid w:val="00CD784F"/>
    <w:rsid w:val="00D85F7C"/>
    <w:rsid w:val="00DC1C78"/>
    <w:rsid w:val="00E90D20"/>
    <w:rsid w:val="00EF662C"/>
    <w:rsid w:val="00FE755A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E9693-EDA1-4572-869B-7FD70EDE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2</cp:revision>
  <dcterms:created xsi:type="dcterms:W3CDTF">2018-05-30T10:21:00Z</dcterms:created>
  <dcterms:modified xsi:type="dcterms:W3CDTF">2018-05-30T10:21:00Z</dcterms:modified>
</cp:coreProperties>
</file>