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1"/>
        <w:gridCol w:w="3673"/>
        <w:gridCol w:w="390"/>
        <w:gridCol w:w="390"/>
        <w:gridCol w:w="400"/>
        <w:gridCol w:w="400"/>
        <w:gridCol w:w="385"/>
        <w:gridCol w:w="369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26AAE" w:rsidRPr="007708A0" w:rsidTr="00826AAE">
        <w:tc>
          <w:tcPr>
            <w:tcW w:w="1767" w:type="pct"/>
          </w:tcPr>
          <w:p w:rsidR="00826AAE" w:rsidRPr="007708A0" w:rsidRDefault="00826AAE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3" w:type="pct"/>
            <w:gridSpan w:val="7"/>
          </w:tcPr>
          <w:p w:rsidR="00826AAE" w:rsidRPr="007708A0" w:rsidRDefault="00826AAE" w:rsidP="00855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Šárka Kupčíková</w:t>
            </w:r>
          </w:p>
        </w:tc>
      </w:tr>
      <w:tr w:rsidR="00826AAE" w:rsidRPr="007708A0" w:rsidTr="00826AAE">
        <w:tc>
          <w:tcPr>
            <w:tcW w:w="1767" w:type="pct"/>
          </w:tcPr>
          <w:p w:rsidR="00826AAE" w:rsidRPr="007708A0" w:rsidRDefault="00826AA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3" w:type="pct"/>
            <w:gridSpan w:val="7"/>
          </w:tcPr>
          <w:p w:rsidR="00826AAE" w:rsidRPr="007708A0" w:rsidRDefault="00826AAE" w:rsidP="00855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Rozvoj komunikačních kompetencí dětí předškolního věku prostřednictvím výtvarné činnosti</w:t>
            </w:r>
          </w:p>
        </w:tc>
      </w:tr>
      <w:tr w:rsidR="00826AAE" w:rsidRPr="007708A0" w:rsidTr="00826AAE">
        <w:tc>
          <w:tcPr>
            <w:tcW w:w="1767" w:type="pct"/>
          </w:tcPr>
          <w:p w:rsidR="00826AAE" w:rsidRPr="007708A0" w:rsidRDefault="00826AA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3" w:type="pct"/>
            <w:gridSpan w:val="7"/>
          </w:tcPr>
          <w:p w:rsidR="00826AAE" w:rsidRPr="007708A0" w:rsidRDefault="00826AAE" w:rsidP="00855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Libuše Černá, Ph.D.</w:t>
            </w:r>
          </w:p>
        </w:tc>
      </w:tr>
      <w:tr w:rsidR="00826AAE" w:rsidRPr="007708A0" w:rsidTr="00826AAE">
        <w:tc>
          <w:tcPr>
            <w:tcW w:w="1767" w:type="pct"/>
          </w:tcPr>
          <w:p w:rsidR="00826AAE" w:rsidRPr="007708A0" w:rsidRDefault="00826AA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3" w:type="pct"/>
            <w:gridSpan w:val="7"/>
          </w:tcPr>
          <w:p w:rsidR="00826AAE" w:rsidRPr="007708A0" w:rsidRDefault="00826AAE" w:rsidP="00855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26AAE" w:rsidRPr="007708A0" w:rsidTr="00826AAE">
        <w:tc>
          <w:tcPr>
            <w:tcW w:w="1767" w:type="pct"/>
          </w:tcPr>
          <w:p w:rsidR="00826AAE" w:rsidRPr="007708A0" w:rsidRDefault="00826AA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3" w:type="pct"/>
            <w:gridSpan w:val="7"/>
          </w:tcPr>
          <w:p w:rsidR="00826AAE" w:rsidRPr="007708A0" w:rsidRDefault="00826AAE" w:rsidP="00855F9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26AAE">
        <w:tc>
          <w:tcPr>
            <w:tcW w:w="1767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3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26AAE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0A59E5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A59E5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26AAE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0A59E5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0A59E5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26AAE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386478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86478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26AAE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386478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86478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26AAE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C17379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C17379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26AAE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C17379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C17379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26AAE">
        <w:tc>
          <w:tcPr>
            <w:tcW w:w="374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17379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C17379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26AAE">
        <w:tc>
          <w:tcPr>
            <w:tcW w:w="374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17379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C17379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26AAE">
        <w:tc>
          <w:tcPr>
            <w:tcW w:w="374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C17379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C17379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26AAE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C17379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C17379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26AAE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C1737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C17379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C17379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C17379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6D54EB" w:rsidRDefault="00DA652C" w:rsidP="000A59E5">
            <w:pPr>
              <w:spacing w:after="0" w:line="240" w:lineRule="auto"/>
              <w:rPr>
                <w:rFonts w:ascii="Arial" w:hAnsi="Arial" w:cs="Arial"/>
              </w:rPr>
            </w:pPr>
            <w:r w:rsidRPr="00420636">
              <w:rPr>
                <w:rFonts w:ascii="Arial" w:hAnsi="Arial" w:cs="Arial"/>
              </w:rPr>
              <w:t xml:space="preserve">Předložená </w:t>
            </w:r>
            <w:r>
              <w:rPr>
                <w:rFonts w:ascii="Arial" w:hAnsi="Arial" w:cs="Arial"/>
              </w:rPr>
              <w:t>bakalářská práce (dále jen BP) se zabývá</w:t>
            </w:r>
            <w:r w:rsidR="00837311">
              <w:rPr>
                <w:rFonts w:ascii="Arial" w:hAnsi="Arial" w:cs="Arial"/>
              </w:rPr>
              <w:t xml:space="preserve"> problematikou rozvoje komunikačních kompetencí dětí předškolního věku, a to prostřednictvím výtvarné činnosti. </w:t>
            </w:r>
            <w:r w:rsidR="00C02BBC">
              <w:rPr>
                <w:rFonts w:ascii="Arial" w:hAnsi="Arial" w:cs="Arial"/>
              </w:rPr>
              <w:t>BP</w:t>
            </w:r>
            <w:r w:rsidR="006D54EB">
              <w:rPr>
                <w:rFonts w:ascii="Arial" w:hAnsi="Arial" w:cs="Arial"/>
              </w:rPr>
              <w:t xml:space="preserve"> aplikačního charakteru</w:t>
            </w:r>
            <w:r w:rsidR="00C02BBC">
              <w:rPr>
                <w:rFonts w:ascii="Arial" w:hAnsi="Arial" w:cs="Arial"/>
              </w:rPr>
              <w:t xml:space="preserve"> je rozdělena na dvě hlavní části. První – teoret</w:t>
            </w:r>
            <w:r w:rsidR="006D54EB">
              <w:rPr>
                <w:rFonts w:ascii="Arial" w:hAnsi="Arial" w:cs="Arial"/>
              </w:rPr>
              <w:t>ická část obsahuje tři kapitoly, ve kterých</w:t>
            </w:r>
            <w:r w:rsidR="00D80C95">
              <w:rPr>
                <w:rFonts w:ascii="Arial" w:hAnsi="Arial" w:cs="Arial"/>
              </w:rPr>
              <w:t xml:space="preserve"> </w:t>
            </w:r>
            <w:r w:rsidR="00195D65">
              <w:rPr>
                <w:rFonts w:ascii="Arial" w:hAnsi="Arial" w:cs="Arial"/>
              </w:rPr>
              <w:t>a</w:t>
            </w:r>
            <w:r w:rsidR="00D80C95">
              <w:rPr>
                <w:rFonts w:ascii="Arial" w:hAnsi="Arial" w:cs="Arial"/>
              </w:rPr>
              <w:t>utora vymezuje teoretická východiska z oblasti komunikačních kompetencí a výtvarné edukace v kontextu předškolního vzdělávání. Volba pojmů pro t</w:t>
            </w:r>
            <w:r w:rsidR="00D80C95" w:rsidRPr="00DD2AD8">
              <w:rPr>
                <w:rFonts w:ascii="Arial" w:hAnsi="Arial" w:cs="Arial"/>
              </w:rPr>
              <w:t>eore</w:t>
            </w:r>
            <w:r w:rsidR="00D80C95">
              <w:rPr>
                <w:rFonts w:ascii="Arial" w:hAnsi="Arial" w:cs="Arial"/>
              </w:rPr>
              <w:t xml:space="preserve">tické ukotvení v problematice </w:t>
            </w:r>
            <w:r w:rsidR="00CF7750">
              <w:rPr>
                <w:rFonts w:ascii="Arial" w:hAnsi="Arial" w:cs="Arial"/>
              </w:rPr>
              <w:t>je systematická</w:t>
            </w:r>
            <w:r w:rsidR="00D80C95">
              <w:rPr>
                <w:rFonts w:ascii="Arial" w:hAnsi="Arial" w:cs="Arial"/>
              </w:rPr>
              <w:t xml:space="preserve"> a </w:t>
            </w:r>
            <w:r w:rsidR="00CF7750">
              <w:rPr>
                <w:rFonts w:ascii="Arial" w:hAnsi="Arial" w:cs="Arial"/>
              </w:rPr>
              <w:t>jsou seřazeny přehledně</w:t>
            </w:r>
            <w:r w:rsidR="00D80C95">
              <w:rPr>
                <w:rFonts w:ascii="Arial" w:hAnsi="Arial" w:cs="Arial"/>
              </w:rPr>
              <w:t xml:space="preserve">, přesto ale jejich popis je dosti stručný. </w:t>
            </w:r>
          </w:p>
          <w:p w:rsidR="00453AD7" w:rsidRDefault="006D54EB" w:rsidP="000A59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Druhá – praktická část BP je členěna rovněž na tři kapitoly, které představují výtvarný projekt. </w:t>
            </w:r>
            <w:r w:rsidR="00192867">
              <w:rPr>
                <w:rFonts w:ascii="Arial" w:hAnsi="Arial" w:cs="Arial"/>
              </w:rPr>
              <w:t>Doporučila bych lépe promyslet formulace témat projektu – vyznívají velmi monotónně, když autorka v každém z nich zvolila „Zima: …“ (kap. 4.2, str. 26.–27.)</w:t>
            </w:r>
            <w:r w:rsidR="002927CB">
              <w:rPr>
                <w:rFonts w:ascii="Arial" w:hAnsi="Arial" w:cs="Arial"/>
              </w:rPr>
              <w:t xml:space="preserve">. </w:t>
            </w:r>
            <w:r w:rsidR="0070664B">
              <w:rPr>
                <w:rFonts w:ascii="Arial" w:hAnsi="Arial" w:cs="Arial"/>
              </w:rPr>
              <w:t xml:space="preserve">Vhodné a zajímavé je zařazení komentářů či rozhovorů dětí ke většině realizovaných činností. </w:t>
            </w:r>
            <w:r w:rsidR="002927CB">
              <w:rPr>
                <w:rFonts w:ascii="Arial" w:hAnsi="Arial" w:cs="Arial"/>
              </w:rPr>
              <w:t>Evaluace výtvarného projektu, zejména autoevaluace a hodnocení učitelkou mateřské školy (kap. 5.1 a 5.2) je velmi stručná. Doporučení pro praxi (kap. 6) bych si rovněž představovala obsáhlejší, kapitola je až příliš věcná a heslovitá.</w:t>
            </w:r>
            <w:r w:rsidR="00453AD7">
              <w:rPr>
                <w:rFonts w:ascii="Arial" w:hAnsi="Arial" w:cs="Arial"/>
              </w:rPr>
              <w:t xml:space="preserve"> </w:t>
            </w:r>
          </w:p>
          <w:p w:rsidR="000A6E39" w:rsidRPr="000A6E39" w:rsidRDefault="00386478" w:rsidP="000A59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obou částech BP bych doporučila vymezit cíle na zvláštním místě (ne je uvádět pouze v úvodu BP). </w:t>
            </w:r>
            <w:r w:rsidR="007D616F">
              <w:rPr>
                <w:rFonts w:ascii="Arial" w:hAnsi="Arial" w:cs="Arial"/>
              </w:rPr>
              <w:t>Stylistická úroveň textu není příliš dobrá</w:t>
            </w:r>
            <w:r w:rsidR="00CF7750">
              <w:rPr>
                <w:rFonts w:ascii="Arial" w:hAnsi="Arial" w:cs="Arial"/>
              </w:rPr>
              <w:t>,</w:t>
            </w:r>
            <w:r w:rsidR="007D616F">
              <w:rPr>
                <w:rFonts w:ascii="Arial" w:hAnsi="Arial" w:cs="Arial"/>
              </w:rPr>
              <w:t xml:space="preserve"> v BP se vyskytují</w:t>
            </w:r>
            <w:r w:rsidR="00CF7750">
              <w:rPr>
                <w:rFonts w:ascii="Arial" w:hAnsi="Arial" w:cs="Arial"/>
              </w:rPr>
              <w:t xml:space="preserve"> ne zcela vhodné formulace či slovní obraty a také</w:t>
            </w:r>
            <w:r w:rsidR="007D616F">
              <w:rPr>
                <w:rFonts w:ascii="Arial" w:hAnsi="Arial" w:cs="Arial"/>
              </w:rPr>
              <w:t xml:space="preserve"> překlepy. </w:t>
            </w:r>
            <w:r w:rsidR="000A6E39" w:rsidRPr="000A6E39">
              <w:rPr>
                <w:rFonts w:ascii="Arial" w:hAnsi="Arial" w:cs="Arial"/>
              </w:rPr>
              <w:t>Na závěr oceňuji</w:t>
            </w:r>
            <w:r w:rsidR="00DA652C">
              <w:rPr>
                <w:rFonts w:ascii="Arial" w:hAnsi="Arial" w:cs="Arial"/>
              </w:rPr>
              <w:t xml:space="preserve">  počet publikací v seznamu použité literatury (</w:t>
            </w:r>
            <w:r w:rsidR="000A6E39">
              <w:rPr>
                <w:rFonts w:ascii="Arial" w:hAnsi="Arial" w:cs="Arial"/>
              </w:rPr>
              <w:t>37</w:t>
            </w:r>
            <w:r w:rsidR="00DA652C">
              <w:rPr>
                <w:rFonts w:ascii="Arial" w:hAnsi="Arial" w:cs="Arial"/>
              </w:rPr>
              <w:t>)</w:t>
            </w:r>
            <w:r w:rsidR="000A6E39">
              <w:rPr>
                <w:rFonts w:ascii="Arial" w:hAnsi="Arial" w:cs="Arial"/>
              </w:rPr>
              <w:t xml:space="preserve">, z čehož </w:t>
            </w:r>
            <w:r w:rsidR="00DA652C">
              <w:rPr>
                <w:rFonts w:ascii="Arial" w:hAnsi="Arial" w:cs="Arial"/>
              </w:rPr>
              <w:t>jsou tři</w:t>
            </w:r>
            <w:r w:rsidR="000A6E39">
              <w:rPr>
                <w:rFonts w:ascii="Arial" w:hAnsi="Arial" w:cs="Arial"/>
              </w:rPr>
              <w:t xml:space="preserve"> zdroje zahraniční.</w:t>
            </w:r>
          </w:p>
          <w:p w:rsidR="005D76EE" w:rsidRDefault="000A59E5" w:rsidP="000A59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splňuje </w:t>
            </w:r>
            <w:r w:rsidRPr="00937008">
              <w:rPr>
                <w:rFonts w:ascii="Arial" w:hAnsi="Arial" w:cs="Arial"/>
              </w:rPr>
              <w:t>formální náležitosti a požadavky na daný typ práce a doporučuji ji k obhajobě.</w:t>
            </w:r>
          </w:p>
          <w:p w:rsidR="00453AD7" w:rsidRPr="007708A0" w:rsidRDefault="00453AD7" w:rsidP="000A59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2A3473">
              <w:rPr>
                <w:rFonts w:ascii="Arial" w:hAnsi="Arial" w:cs="Arial"/>
              </w:rPr>
              <w:t xml:space="preserve"> Ve své práci uvádíte čtyři jazykové roviny řeči, které se vzájemně prolínají (kap. 1.3, str. 13). Z jakého zdroje vycházíte?</w:t>
            </w:r>
          </w:p>
          <w:p w:rsidR="007D616F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7D616F">
              <w:rPr>
                <w:rFonts w:ascii="Arial" w:hAnsi="Arial" w:cs="Arial"/>
              </w:rPr>
              <w:t xml:space="preserve"> V čem tkví srovnání Vaší autoevaluace a hodnocení učitelkou mateřské školy? Objasněte rozvržení položek v tabulce (kap. 5.3, str. 52).</w:t>
            </w:r>
          </w:p>
          <w:p w:rsidR="005D76EE" w:rsidRPr="007708A0" w:rsidRDefault="007D616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5D76EE" w:rsidRPr="007708A0" w:rsidTr="00826AAE">
        <w:tc>
          <w:tcPr>
            <w:tcW w:w="3745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5E2213" w:rsidRDefault="005D76EE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5E2213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0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26AAE">
        <w:tc>
          <w:tcPr>
            <w:tcW w:w="3745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0A6E39">
              <w:rPr>
                <w:rFonts w:ascii="Arial" w:hAnsi="Arial" w:cs="Arial"/>
              </w:rPr>
              <w:t xml:space="preserve">   30. 5. 2018</w:t>
            </w:r>
          </w:p>
        </w:tc>
        <w:tc>
          <w:tcPr>
            <w:tcW w:w="1255" w:type="pct"/>
            <w:gridSpan w:val="6"/>
            <w:vAlign w:val="center"/>
          </w:tcPr>
          <w:p w:rsidR="005D76EE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  <w:p w:rsidR="000A6E39" w:rsidRPr="007708A0" w:rsidRDefault="000A6E39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5D76EE" w:rsidRDefault="005D76EE" w:rsidP="005D76EE"/>
    <w:p w:rsidR="00BD32D9" w:rsidRDefault="009E68E5"/>
    <w:sectPr w:rsidR="00BD32D9" w:rsidSect="001F4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8E5" w:rsidRDefault="009E68E5" w:rsidP="005D76EE">
      <w:pPr>
        <w:spacing w:after="0" w:line="240" w:lineRule="auto"/>
      </w:pPr>
      <w:r>
        <w:separator/>
      </w:r>
    </w:p>
  </w:endnote>
  <w:endnote w:type="continuationSeparator" w:id="0">
    <w:p w:rsidR="009E68E5" w:rsidRDefault="009E68E5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8E5" w:rsidRDefault="009E68E5" w:rsidP="005D76EE">
      <w:pPr>
        <w:spacing w:after="0" w:line="240" w:lineRule="auto"/>
      </w:pPr>
      <w:r>
        <w:separator/>
      </w:r>
    </w:p>
  </w:footnote>
  <w:footnote w:type="continuationSeparator" w:id="0">
    <w:p w:rsidR="009E68E5" w:rsidRDefault="009E68E5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E1DF4"/>
    <w:multiLevelType w:val="hybridMultilevel"/>
    <w:tmpl w:val="C3841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A59E5"/>
    <w:rsid w:val="000A6E39"/>
    <w:rsid w:val="00192867"/>
    <w:rsid w:val="00195D65"/>
    <w:rsid w:val="001F4294"/>
    <w:rsid w:val="002927CB"/>
    <w:rsid w:val="002A3473"/>
    <w:rsid w:val="00386478"/>
    <w:rsid w:val="00426DC9"/>
    <w:rsid w:val="00453AD7"/>
    <w:rsid w:val="00477FDB"/>
    <w:rsid w:val="00480118"/>
    <w:rsid w:val="004A3B95"/>
    <w:rsid w:val="005D76EE"/>
    <w:rsid w:val="005E2213"/>
    <w:rsid w:val="005F144C"/>
    <w:rsid w:val="006D54EB"/>
    <w:rsid w:val="0070664B"/>
    <w:rsid w:val="00740026"/>
    <w:rsid w:val="00753D0D"/>
    <w:rsid w:val="007D616F"/>
    <w:rsid w:val="00826AAE"/>
    <w:rsid w:val="00832F99"/>
    <w:rsid w:val="00837311"/>
    <w:rsid w:val="009C4D29"/>
    <w:rsid w:val="009E68E5"/>
    <w:rsid w:val="00B35F27"/>
    <w:rsid w:val="00C02BBC"/>
    <w:rsid w:val="00C17379"/>
    <w:rsid w:val="00C67E53"/>
    <w:rsid w:val="00CF7750"/>
    <w:rsid w:val="00D80C95"/>
    <w:rsid w:val="00DA652C"/>
    <w:rsid w:val="00E212B3"/>
    <w:rsid w:val="00FC26D3"/>
    <w:rsid w:val="00FE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86ABC-182A-4888-BE89-17B9786D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A6E39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dcterms:created xsi:type="dcterms:W3CDTF">2018-05-31T09:55:00Z</dcterms:created>
  <dcterms:modified xsi:type="dcterms:W3CDTF">2018-05-31T09:55:00Z</dcterms:modified>
</cp:coreProperties>
</file>