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F5214" w:rsidRPr="00FF5214">
        <w:rPr>
          <w:b/>
          <w:i/>
          <w:sz w:val="22"/>
          <w:szCs w:val="22"/>
        </w:rPr>
        <w:t>Vendula Jurčov</w:t>
      </w:r>
      <w:r w:rsidR="00FF5214">
        <w:rPr>
          <w:b/>
          <w:i/>
          <w:sz w:val="22"/>
          <w:szCs w:val="22"/>
        </w:rPr>
        <w:t>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B79CA" w:rsidRPr="009B79CA">
        <w:rPr>
          <w:b/>
          <w:i/>
          <w:sz w:val="22"/>
          <w:szCs w:val="22"/>
        </w:rPr>
        <w:t>Ing. Jiří Bejtkovský, Ph.D</w:t>
      </w:r>
      <w:r w:rsidR="009B79CA">
        <w:rPr>
          <w:b/>
          <w:i/>
          <w:sz w:val="22"/>
          <w:szCs w:val="22"/>
        </w:rPr>
        <w:t>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9B79CA" w:rsidRPr="009B79CA">
        <w:rPr>
          <w:b/>
          <w:i/>
          <w:sz w:val="22"/>
          <w:szCs w:val="22"/>
        </w:rPr>
        <w:t>2017/201</w:t>
      </w:r>
      <w:r w:rsidR="009B79CA">
        <w:rPr>
          <w:b/>
          <w:i/>
          <w:sz w:val="22"/>
          <w:szCs w:val="22"/>
        </w:rPr>
        <w:t>8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FF5214" w:rsidRPr="00FF5214">
        <w:rPr>
          <w:b/>
          <w:i/>
          <w:sz w:val="22"/>
          <w:szCs w:val="22"/>
        </w:rPr>
        <w:t>Analýza odměňovacího systému ve vybrané firmě v komparaci se systémem odměňování ve firmě Baťa do roku 193</w:t>
      </w:r>
      <w:r w:rsidR="00FF5214">
        <w:rPr>
          <w:b/>
          <w:i/>
          <w:sz w:val="22"/>
          <w:szCs w:val="22"/>
        </w:rPr>
        <w:t>9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B79CA">
              <w:rPr>
                <w:b/>
                <w:snapToGrid w:val="0"/>
                <w:color w:val="000000"/>
              </w:rPr>
            </w:r>
            <w:r w:rsidR="00C975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79CA">
              <w:rPr>
                <w:snapToGrid w:val="0"/>
                <w:color w:val="000000"/>
              </w:rPr>
            </w:r>
            <w:r w:rsidR="00C975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79CA">
              <w:rPr>
                <w:snapToGrid w:val="0"/>
                <w:color w:val="000000"/>
              </w:rPr>
            </w:r>
            <w:r w:rsidR="00C975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79CA">
              <w:rPr>
                <w:snapToGrid w:val="0"/>
                <w:color w:val="000000"/>
              </w:rPr>
            </w:r>
            <w:r w:rsidR="00C975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97525">
              <w:rPr>
                <w:b/>
                <w:snapToGrid w:val="0"/>
                <w:color w:val="000000"/>
              </w:rPr>
            </w:r>
            <w:r w:rsidR="00C975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79CA">
              <w:rPr>
                <w:snapToGrid w:val="0"/>
                <w:color w:val="000000"/>
              </w:rPr>
            </w:r>
            <w:r w:rsidR="00C975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79CA">
              <w:rPr>
                <w:snapToGrid w:val="0"/>
                <w:color w:val="000000"/>
              </w:rPr>
            </w:r>
            <w:r w:rsidR="00C975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79CA">
              <w:rPr>
                <w:snapToGrid w:val="0"/>
                <w:color w:val="000000"/>
              </w:rPr>
            </w:r>
            <w:r w:rsidR="00C975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79CA">
              <w:rPr>
                <w:snapToGrid w:val="0"/>
                <w:color w:val="000000"/>
              </w:rPr>
            </w:r>
            <w:r w:rsidR="00C975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97525">
              <w:rPr>
                <w:b/>
                <w:snapToGrid w:val="0"/>
                <w:color w:val="000000"/>
              </w:rPr>
            </w:r>
            <w:r w:rsidR="00C975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79CA">
              <w:rPr>
                <w:snapToGrid w:val="0"/>
                <w:color w:val="000000"/>
              </w:rPr>
            </w:r>
            <w:r w:rsidR="00C975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79CA">
              <w:rPr>
                <w:snapToGrid w:val="0"/>
                <w:color w:val="000000"/>
              </w:rPr>
            </w:r>
            <w:r w:rsidR="00C975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79CA">
              <w:rPr>
                <w:snapToGrid w:val="0"/>
                <w:color w:val="000000"/>
              </w:rPr>
            </w:r>
            <w:r w:rsidR="00C975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97525">
              <w:rPr>
                <w:b/>
                <w:snapToGrid w:val="0"/>
                <w:color w:val="000000"/>
              </w:rPr>
            </w:r>
            <w:r w:rsidR="00C975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79CA">
              <w:rPr>
                <w:snapToGrid w:val="0"/>
                <w:color w:val="000000"/>
              </w:rPr>
            </w:r>
            <w:r w:rsidR="00C975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79CA">
              <w:rPr>
                <w:snapToGrid w:val="0"/>
                <w:color w:val="000000"/>
              </w:rPr>
            </w:r>
            <w:r w:rsidR="00C975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79CA">
              <w:rPr>
                <w:snapToGrid w:val="0"/>
                <w:color w:val="000000"/>
              </w:rPr>
            </w:r>
            <w:r w:rsidR="00C975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79CA">
              <w:rPr>
                <w:snapToGrid w:val="0"/>
                <w:color w:val="000000"/>
              </w:rPr>
            </w:r>
            <w:r w:rsidR="00C975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79CA">
              <w:rPr>
                <w:snapToGrid w:val="0"/>
                <w:color w:val="000000"/>
              </w:rPr>
            </w:r>
            <w:r w:rsidR="00C975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97525">
              <w:rPr>
                <w:b/>
                <w:snapToGrid w:val="0"/>
                <w:color w:val="000000"/>
              </w:rPr>
            </w:r>
            <w:r w:rsidR="00C975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79CA">
              <w:rPr>
                <w:snapToGrid w:val="0"/>
                <w:color w:val="000000"/>
              </w:rPr>
            </w:r>
            <w:r w:rsidR="00C975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79CA">
              <w:rPr>
                <w:snapToGrid w:val="0"/>
                <w:color w:val="000000"/>
              </w:rPr>
            </w:r>
            <w:r w:rsidR="00C975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79CA">
              <w:rPr>
                <w:snapToGrid w:val="0"/>
                <w:color w:val="000000"/>
              </w:rPr>
            </w:r>
            <w:r w:rsidR="00C975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79CA">
              <w:rPr>
                <w:snapToGrid w:val="0"/>
                <w:color w:val="000000"/>
              </w:rPr>
            </w:r>
            <w:r w:rsidR="00C975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97525">
              <w:rPr>
                <w:b/>
                <w:snapToGrid w:val="0"/>
                <w:color w:val="000000"/>
              </w:rPr>
            </w:r>
            <w:r w:rsidR="00C9752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79CA">
              <w:rPr>
                <w:snapToGrid w:val="0"/>
                <w:color w:val="000000"/>
              </w:rPr>
            </w:r>
            <w:r w:rsidR="00C975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79CA">
              <w:rPr>
                <w:snapToGrid w:val="0"/>
                <w:color w:val="000000"/>
              </w:rPr>
            </w:r>
            <w:r w:rsidR="00C975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79CA">
              <w:rPr>
                <w:snapToGrid w:val="0"/>
                <w:color w:val="000000"/>
              </w:rPr>
            </w:r>
            <w:r w:rsidR="00C975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79CA">
              <w:rPr>
                <w:snapToGrid w:val="0"/>
                <w:color w:val="000000"/>
              </w:rPr>
            </w:r>
            <w:r w:rsidR="00C975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9B79CA">
              <w:rPr>
                <w:snapToGrid w:val="0"/>
                <w:color w:val="000000"/>
              </w:rPr>
            </w:r>
            <w:r w:rsidR="00C9752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C975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97525">
              <w:rPr>
                <w:b/>
                <w:snapToGrid w:val="0"/>
                <w:color w:val="000000"/>
              </w:rPr>
              <w:t>18</w:t>
            </w:r>
            <w:bookmarkStart w:id="7" w:name="_GoBack"/>
            <w:bookmarkEnd w:id="7"/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8" w:name="Text6"/>
    <w:p w:rsidR="00FF5214" w:rsidRPr="00FF5214" w:rsidRDefault="005C5600" w:rsidP="00FF5214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F5214" w:rsidRPr="00FF5214">
        <w:rPr>
          <w:i/>
          <w:noProof/>
        </w:rPr>
        <w:t>Tématem BP je analýza odměňovacího systému ve vybrané firmě, tedy ve firmě CEBES, a.s., v komparaci se systémem odměňování ve firmě Baťa do roku 1939. Oblast systému odměňování zaměstnanců je pro každou firmu podstatnou a významnou činností, která by neměla být podceňována. Teoretická část BP je zpracována na kvalitní úrovni a ve své podstatě zahrnuje všechny potřebné informace související s tématem BP. Praktická část BP, analýza, začíná představením vybrané firmy a poté je popsán systém odměňování zaměstnanců ve vybrané firmě a následně ve firmě Baťa do roku 1939. Navržená doporučení pro firmu CEBES, a.s. jsou sice zajímavá, ale určitě vyvolávají celou řadu otázek a dotazů. Například instalace obrazovek/kamer na dílny – obecně platí, že zaměstnavatel nesmí bez závažného důvodu narušovat soukromí zaměstnance na pracovišti a ve společných prostorách tím, že je nechává sledovat. A pakliže zaměstnavatel provozuje kamerové systémy na pracovišti, musí vyhovět nejen požadavkům Zákoníku práce, ale stává se tak i správcem osobním údajů a musí tedy dále dodržovat příslušnou právní regulaci a nařízení o ochraně osobních údajů (GDPR). V rámci této kapitoly mi zcela chybí vyčíslení, alespoň některých navržených doporučení. Formálně lze BP vytknout chybné označení popisků obrázků či tabulek. I přes výše uvedené dostatky doporučuji BP k obhajobě.</w:t>
      </w:r>
    </w:p>
    <w:p w:rsidR="00FF5214" w:rsidRPr="00FF5214" w:rsidRDefault="00FF5214" w:rsidP="00FF5214">
      <w:pPr>
        <w:rPr>
          <w:i/>
          <w:noProof/>
        </w:rPr>
      </w:pPr>
    </w:p>
    <w:p w:rsidR="00FF5214" w:rsidRPr="00FF5214" w:rsidRDefault="00FF5214" w:rsidP="00FF5214">
      <w:pPr>
        <w:rPr>
          <w:i/>
          <w:noProof/>
        </w:rPr>
      </w:pPr>
      <w:r w:rsidRPr="00FF5214">
        <w:rPr>
          <w:i/>
          <w:noProof/>
        </w:rPr>
        <w:t>Otázky k obhajobě:</w:t>
      </w:r>
    </w:p>
    <w:p w:rsidR="00FF5214" w:rsidRPr="00FF5214" w:rsidRDefault="00FF5214" w:rsidP="00FF5214">
      <w:pPr>
        <w:rPr>
          <w:i/>
          <w:noProof/>
        </w:rPr>
      </w:pPr>
      <w:r w:rsidRPr="00FF5214">
        <w:rPr>
          <w:i/>
          <w:noProof/>
        </w:rPr>
        <w:t>1. Jaká by byla ekonomická náročnost navrhovaných doporučení?</w:t>
      </w:r>
    </w:p>
    <w:p w:rsidR="00DC219A" w:rsidRPr="00AE58C9" w:rsidRDefault="00FF5214" w:rsidP="00FF5214">
      <w:pPr>
        <w:rPr>
          <w:i/>
        </w:rPr>
      </w:pPr>
      <w:r w:rsidRPr="00FF5214">
        <w:rPr>
          <w:i/>
          <w:noProof/>
        </w:rPr>
        <w:t>2. Měla již studentka možnost projednat svá doporučení s představiteli vybrané firmy, jaké byly případné reakce</w:t>
      </w:r>
      <w:r>
        <w:rPr>
          <w:i/>
          <w:noProof/>
        </w:rPr>
        <w:t>?</w:t>
      </w:r>
      <w:r w:rsidR="005C5600">
        <w:rPr>
          <w:i/>
        </w:rPr>
        <w:fldChar w:fldCharType="end"/>
      </w:r>
      <w:bookmarkEnd w:id="8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B79CA">
        <w:rPr>
          <w:i/>
        </w:rPr>
      </w:r>
      <w:r w:rsidR="00C97525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9B79CA" w:rsidRPr="009B79CA">
        <w:rPr>
          <w:i/>
          <w:noProof/>
        </w:rPr>
        <w:t>25. května 201</w:t>
      </w:r>
      <w:r w:rsidR="009B79CA">
        <w:rPr>
          <w:i/>
          <w:noProof/>
        </w:rPr>
        <w:t>8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lastRenderedPageBreak/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1B77" w:rsidRDefault="00DA1B77">
      <w:r>
        <w:separator/>
      </w:r>
    </w:p>
  </w:endnote>
  <w:endnote w:type="continuationSeparator" w:id="0">
    <w:p w:rsidR="00DA1B77" w:rsidRDefault="00DA1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1B77" w:rsidRDefault="00DA1B77">
      <w:r>
        <w:separator/>
      </w:r>
    </w:p>
  </w:footnote>
  <w:footnote w:type="continuationSeparator" w:id="0">
    <w:p w:rsidR="00DA1B77" w:rsidRDefault="00DA1B77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B79CA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97525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  <w:rsid w:val="00FF5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8C7E3A8-129C-40D8-BCD8-06405E7C4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655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user</cp:lastModifiedBy>
  <cp:revision>9</cp:revision>
  <cp:lastPrinted>2014-07-24T08:52:00Z</cp:lastPrinted>
  <dcterms:created xsi:type="dcterms:W3CDTF">2018-04-24T10:10:00Z</dcterms:created>
  <dcterms:modified xsi:type="dcterms:W3CDTF">2018-05-25T18:28:00Z</dcterms:modified>
</cp:coreProperties>
</file>