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1B7C84" w:rsidRPr="001B7C84">
              <w:rPr>
                <w:rFonts w:ascii="Times New Roman" w:hAnsi="Times New Roman" w:cs="Times New Roman"/>
                <w:b/>
              </w:rPr>
              <w:t>Bc. Ondřej Kotula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sidRPr="001B7C84">
              <w:rPr>
                <w:rFonts w:ascii="Times New Roman" w:hAnsi="Times New Roman" w:cs="Times New Roman"/>
              </w:rPr>
              <w:t>CHTM</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sidRPr="001B7C84">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Pr>
                <w:rFonts w:ascii="Times New Roman" w:hAnsi="Times New Roman" w:cs="Times New Roman"/>
              </w:rPr>
              <w:t> </w:t>
            </w:r>
            <w:r w:rsidR="001B7C84">
              <w:rPr>
                <w:rFonts w:ascii="Times New Roman" w:hAnsi="Times New Roman" w:cs="Times New Roman"/>
              </w:rPr>
              <w:t> </w:t>
            </w:r>
            <w:r w:rsidR="001B7C84">
              <w:rPr>
                <w:rFonts w:ascii="Times New Roman" w:hAnsi="Times New Roman" w:cs="Times New Roman"/>
              </w:rPr>
              <w:t> </w:t>
            </w:r>
            <w:r w:rsidR="001B7C84">
              <w:rPr>
                <w:rFonts w:ascii="Times New Roman" w:hAnsi="Times New Roman" w:cs="Times New Roman"/>
              </w:rPr>
              <w:t> </w:t>
            </w:r>
            <w:r w:rsidR="001B7C84">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sidRPr="001B7C84">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sidRPr="001B7C84">
              <w:rPr>
                <w:rFonts w:ascii="Times New Roman" w:hAnsi="Times New Roman" w:cs="Times New Roman"/>
              </w:rPr>
              <w:t>Dr.-Ing. Radek Stoček</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1B7C8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B7C84" w:rsidRPr="001B7C84">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1B7C84">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1B7C84" w:rsidRPr="001B7C84">
              <w:rPr>
                <w:rFonts w:ascii="Times New Roman" w:hAnsi="Times New Roman" w:cs="Times New Roman"/>
                <w:sz w:val="24"/>
              </w:rPr>
              <w:t xml:space="preserve">Development of experimental methodology for evaluation of rubber-steel ahesion at fatigue loading conditions </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330A29">
              <w:rPr>
                <w:rFonts w:ascii="Times New Roman" w:hAnsi="Times New Roman" w:cs="Times New Roman"/>
                <w:b/>
                <w:sz w:val="24"/>
                <w:szCs w:val="24"/>
              </w:rPr>
            </w:r>
            <w:r w:rsidR="00330A29">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330A29">
              <w:rPr>
                <w:rFonts w:ascii="Times New Roman" w:hAnsi="Times New Roman" w:cs="Times New Roman"/>
                <w:b/>
                <w:sz w:val="28"/>
              </w:rPr>
            </w:r>
            <w:r w:rsidR="00330A29">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1B7C84" w:rsidRDefault="007E7A9D" w:rsidP="001B7C84">
            <w:r w:rsidRPr="00DF017B">
              <w:fldChar w:fldCharType="begin">
                <w:ffData>
                  <w:name w:val="Text11"/>
                  <w:enabled/>
                  <w:calcOnExit w:val="0"/>
                  <w:textInput/>
                </w:ffData>
              </w:fldChar>
            </w:r>
            <w:r w:rsidRPr="00DF017B">
              <w:instrText xml:space="preserve"> FORMTEXT </w:instrText>
            </w:r>
            <w:r w:rsidRPr="00DF017B">
              <w:fldChar w:fldCharType="separate"/>
            </w:r>
            <w:r w:rsidR="001B7C84">
              <w:t>The diploma thesis is focussed on the proposal of a new testing methodology describing the adhesion between rubber-metal bonded technicla parts. In the automotive indistry the rubber damping elements are commonly bonded with a steel part, where the rubber segment is used for his manly used as a damper and the steel segment creates the rigid part fixing the complete assembly to the chassis. Because of the high dynamic cyclic loading applied on complete assembly the fatigue life time limits are a very critical issue for the element and especially for the interconnection between both of materials. The separation of the metal and coating rubber could have a fatal consequence on functionality of complex assembly. Such damage could lead to the change in assembly behaviour. Thus the complex description of adhesion mechanism and its optimisation is of high scientific as well as industrial interest and a first broader view in this topic is the aim of this work. The theoretical part of this work leads to collect the broad overview over the topic of interest. On the other hand the experimental part of the work leads to proposal of of measuring methodology based on simulation of real loading condition int he field of parts in automotive industry. The scientific aim was very new for the student and he has to learn new knowledges as well as experimental methods based on dynamic fatigue loading conditions. Finally the student evaluated the functionality of the proposed testing methodology on one element rubber-metal and demonstered the functionality of the methodology. Within the study and elaborating of the thesis the student did not worked properly in therm of deadlines, nevertheless he worked individualy and the final work elaborated in a good codition.</w:t>
            </w:r>
          </w:p>
          <w:p w:rsidR="001B7C84" w:rsidRDefault="001B7C84" w:rsidP="001B7C84"/>
          <w:p w:rsidR="001B7C84" w:rsidRDefault="001B7C84" w:rsidP="001B7C84">
            <w:r>
              <w:t>I recommend the submitted thesis for the defense.</w:t>
            </w:r>
          </w:p>
          <w:p w:rsidR="001B7C84" w:rsidRDefault="001B7C84" w:rsidP="001B7C84"/>
          <w:p w:rsidR="00A3668A" w:rsidRPr="00A3668A" w:rsidRDefault="001B7C84" w:rsidP="001B7C84">
            <w:pPr>
              <w:rPr>
                <w:rFonts w:ascii="Times New Roman" w:hAnsi="Times New Roman" w:cs="Times New Roman"/>
                <w:sz w:val="24"/>
              </w:rPr>
            </w:pPr>
            <w:r>
              <w:t>Předloženou diplomovou práci doporučuji k obhajobě.</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1B7C84" w:rsidRPr="001B7C84">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1B7C84" w:rsidRPr="001B7C84">
        <w:t>31.5.2017</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29" w:rsidRDefault="00330A29" w:rsidP="006D48B2">
      <w:pPr>
        <w:spacing w:after="0" w:line="240" w:lineRule="auto"/>
      </w:pPr>
      <w:r>
        <w:separator/>
      </w:r>
    </w:p>
  </w:endnote>
  <w:endnote w:type="continuationSeparator" w:id="0">
    <w:p w:rsidR="00330A29" w:rsidRDefault="00330A29"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EA7375">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EA7375">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29" w:rsidRDefault="00330A29" w:rsidP="006D48B2">
      <w:pPr>
        <w:spacing w:after="0" w:line="240" w:lineRule="auto"/>
      </w:pPr>
      <w:r>
        <w:separator/>
      </w:r>
    </w:p>
  </w:footnote>
  <w:footnote w:type="continuationSeparator" w:id="0">
    <w:p w:rsidR="00330A29" w:rsidRDefault="00330A29"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1B7C84"/>
    <w:rsid w:val="002507C0"/>
    <w:rsid w:val="002E0174"/>
    <w:rsid w:val="00330A29"/>
    <w:rsid w:val="00372AD0"/>
    <w:rsid w:val="00455546"/>
    <w:rsid w:val="005F2D24"/>
    <w:rsid w:val="006D48B2"/>
    <w:rsid w:val="00735679"/>
    <w:rsid w:val="007E7A9D"/>
    <w:rsid w:val="008527D7"/>
    <w:rsid w:val="00912611"/>
    <w:rsid w:val="009E628A"/>
    <w:rsid w:val="00A3668A"/>
    <w:rsid w:val="00C701AC"/>
    <w:rsid w:val="00D465A9"/>
    <w:rsid w:val="00D91E54"/>
    <w:rsid w:val="00D9546B"/>
    <w:rsid w:val="00E41800"/>
    <w:rsid w:val="00E84A1B"/>
    <w:rsid w:val="00E93976"/>
    <w:rsid w:val="00EA7375"/>
    <w:rsid w:val="00F06034"/>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BE14-3618-49E6-BC21-1075A069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2017-06-07T06:21:00Z</dcterms:created>
  <dcterms:modified xsi:type="dcterms:W3CDTF">2017-06-07T06:21:00Z</dcterms:modified>
</cp:coreProperties>
</file>