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3677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936779">
              <w:rPr>
                <w:rFonts w:ascii="Times New Roman" w:hAnsi="Times New Roman" w:cs="Times New Roman"/>
                <w:b/>
              </w:rPr>
              <w:t>Michal Koupelka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3677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36779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3677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36779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3677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36779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3677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36779">
              <w:rPr>
                <w:rFonts w:ascii="Times New Roman" w:hAnsi="Times New Roman" w:cs="Times New Roman"/>
              </w:rPr>
              <w:t>Ing. Simona Mrkvičková,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3677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36779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93677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36779" w:rsidRPr="00936779">
              <w:rPr>
                <w:rFonts w:ascii="Times New Roman" w:hAnsi="Times New Roman" w:cs="Times New Roman"/>
                <w:sz w:val="24"/>
              </w:rPr>
              <w:t>Houževnatost reaktoplastické matrice kompozitu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747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8747B">
              <w:rPr>
                <w:rFonts w:ascii="Times New Roman" w:hAnsi="Times New Roman" w:cs="Times New Roman"/>
                <w:b/>
                <w:sz w:val="28"/>
              </w:rPr>
            </w:r>
            <w:r w:rsidR="00F8747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90F" w:rsidRDefault="007E7A9D" w:rsidP="0053790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3790F">
              <w:t>Nenasycená polyesterová pryskyřice je jedna z nejčastěji použí</w:t>
            </w:r>
            <w:r w:rsidR="00AD7628">
              <w:t xml:space="preserve">vaných </w:t>
            </w:r>
            <w:r w:rsidR="0053790F">
              <w:t>polymerní</w:t>
            </w:r>
            <w:r w:rsidR="00AD7628">
              <w:t>ch</w:t>
            </w:r>
            <w:r w:rsidR="0053790F">
              <w:t xml:space="preserve"> matr</w:t>
            </w:r>
            <w:r w:rsidR="00AD7628">
              <w:t>ic</w:t>
            </w:r>
            <w:r w:rsidR="0053790F">
              <w:t xml:space="preserve"> kompozitů, </w:t>
            </w:r>
            <w:r w:rsidR="00AD7628">
              <w:t>a to z důvodu její cenové dostupnosti. Reaktoplastické matrice mají oproti termoplastům vyšší teplotní odolnost, jejich nevýhodou, která brání některým aplikacím je ale vysoká křehkost a nízká odolnost vůči šíření trhliny. Tyto vlastnosti jsou částečně eliminovány použitím výztuže, ale snahou je dosáhnout ještě lepších vlastn</w:t>
            </w:r>
            <w:r w:rsidR="00452AB3">
              <w:t>o</w:t>
            </w:r>
            <w:r w:rsidR="00AD7628">
              <w:t>stí zvýšením houževnatosti samotné matrice. To může být provedeno dvěma způsoby, chemickou modifikací tj. začleněním flexibilního řetězce do struktury samotného polymeru nebo fyzikáln</w:t>
            </w:r>
            <w:r w:rsidR="00452AB3">
              <w:t>ě, tj. smícháním s vhodným modifikátorem a vytvoření dvoufázové struktury.</w:t>
            </w:r>
          </w:p>
          <w:p w:rsidR="00452AB3" w:rsidRDefault="0053790F" w:rsidP="00452AB3">
            <w:r>
              <w:t xml:space="preserve">Student Michal Koupelka se ve své bakalářské práci zabývá </w:t>
            </w:r>
            <w:r w:rsidR="00452AB3">
              <w:t xml:space="preserve"> druhým způsobem </w:t>
            </w:r>
            <w:r>
              <w:t>modifikac</w:t>
            </w:r>
            <w:r w:rsidR="00452AB3">
              <w:t>e</w:t>
            </w:r>
            <w:r>
              <w:t xml:space="preserve"> nenasycené polyesterové pryskyřice </w:t>
            </w:r>
            <w:r w:rsidR="00452AB3">
              <w:t xml:space="preserve"> a to konkrétně </w:t>
            </w:r>
            <w:r w:rsidR="00D949B5">
              <w:t xml:space="preserve">přídavkem </w:t>
            </w:r>
            <w:r w:rsidR="00452AB3">
              <w:t>různý</w:t>
            </w:r>
            <w:r w:rsidR="00D949B5">
              <w:t>ch</w:t>
            </w:r>
            <w:r w:rsidR="00452AB3">
              <w:t xml:space="preserve"> typ</w:t>
            </w:r>
            <w:r w:rsidR="00D949B5">
              <w:t>ů</w:t>
            </w:r>
            <w:r w:rsidR="00452AB3">
              <w:t xml:space="preserve"> </w:t>
            </w:r>
            <w:r>
              <w:t>kaučuk</w:t>
            </w:r>
            <w:r w:rsidR="00452AB3">
              <w:t>ů.</w:t>
            </w:r>
            <w:r>
              <w:t xml:space="preserve"> </w:t>
            </w:r>
          </w:p>
          <w:p w:rsidR="00452AB3" w:rsidRDefault="0053790F" w:rsidP="00452AB3">
            <w:r>
              <w:t>V teoretické části jsou přehledně shrnuty poznatky týkající se kompozitních materiálů obecně, dále jsou tam pops</w:t>
            </w:r>
            <w:r w:rsidR="00D949B5">
              <w:t>ány</w:t>
            </w:r>
            <w:r>
              <w:t xml:space="preserve"> reaktoplastické matrice, se zaměřením na nenasycené polyesterové pryskyřice, jejich jednotlivé typy, vlastnosti a způsob vytvrzování. Poslední kapitola </w:t>
            </w:r>
            <w:r w:rsidR="00452AB3">
              <w:t xml:space="preserve">popisuje nejnovější poznatky o možnostech zvýšení houževnatosti matrice. </w:t>
            </w:r>
          </w:p>
          <w:p w:rsidR="00FB5425" w:rsidRDefault="00452AB3" w:rsidP="00FB5425">
            <w:r>
              <w:t>V praktické části student vyzkoušel zamíchat do polyest</w:t>
            </w:r>
            <w:r w:rsidR="00B31503">
              <w:t>e</w:t>
            </w:r>
            <w:r>
              <w:t>rové matrice pět různých druhů kaučuku. Z</w:t>
            </w:r>
            <w:r w:rsidR="00FB5425">
              <w:t> </w:t>
            </w:r>
            <w:r>
              <w:t>nam</w:t>
            </w:r>
            <w:r w:rsidR="00FB5425">
              <w:t>í</w:t>
            </w:r>
            <w:r>
              <w:t>chaných směsí připravil vzorky na rázovou houževnatost</w:t>
            </w:r>
            <w:r w:rsidR="00FB5425">
              <w:t>, kterou následně vyhodnotil.</w:t>
            </w:r>
          </w:p>
          <w:p w:rsidR="00A3668A" w:rsidRPr="00A3668A" w:rsidRDefault="00FB5425" w:rsidP="00D0174F">
            <w:pPr>
              <w:rPr>
                <w:rFonts w:ascii="Times New Roman" w:hAnsi="Times New Roman" w:cs="Times New Roman"/>
                <w:sz w:val="24"/>
              </w:rPr>
            </w:pPr>
            <w:r>
              <w:t>I když se nepodařilo dosáhnout zvýšení rázové houževnatosti, student prokázal svoji schopnost samostatné práce a řešení problémů. Poměrně dobře se zorientoval v dané problematice a ukázal směry</w:t>
            </w:r>
            <w:r w:rsidR="00D949B5">
              <w:t>,</w:t>
            </w:r>
            <w:r>
              <w:t xml:space="preserve"> kterými je možno se vydat</w:t>
            </w:r>
            <w:r w:rsidR="00D949B5">
              <w:t xml:space="preserve"> v další práci. </w:t>
            </w:r>
            <w:r w:rsidR="00D0174F">
              <w:t>Velmi oceňuji zájem studenta o danou problematiku, které se chce dále věnovat v rámci letních stáží a následně i DP.  Práci doporučuji k obhajobě a hodnotím výborně.</w:t>
            </w:r>
            <w:r w:rsidR="00452AB3">
              <w:t xml:space="preserve"> 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D0174F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0174F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D0174F">
        <w:t>5. 6. 2017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47B" w:rsidRDefault="00F8747B" w:rsidP="006D48B2">
      <w:pPr>
        <w:spacing w:after="0" w:line="240" w:lineRule="auto"/>
      </w:pPr>
      <w:r>
        <w:separator/>
      </w:r>
    </w:p>
  </w:endnote>
  <w:endnote w:type="continuationSeparator" w:id="0">
    <w:p w:rsidR="00F8747B" w:rsidRDefault="00F8747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1200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1200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47B" w:rsidRDefault="00F8747B" w:rsidP="006D48B2">
      <w:pPr>
        <w:spacing w:after="0" w:line="240" w:lineRule="auto"/>
      </w:pPr>
      <w:r>
        <w:separator/>
      </w:r>
    </w:p>
  </w:footnote>
  <w:footnote w:type="continuationSeparator" w:id="0">
    <w:p w:rsidR="00F8747B" w:rsidRDefault="00F8747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2618AC"/>
    <w:rsid w:val="002E0174"/>
    <w:rsid w:val="00330909"/>
    <w:rsid w:val="003F3EBE"/>
    <w:rsid w:val="00404C06"/>
    <w:rsid w:val="00452AB3"/>
    <w:rsid w:val="00455546"/>
    <w:rsid w:val="004933E6"/>
    <w:rsid w:val="004C4943"/>
    <w:rsid w:val="0053790F"/>
    <w:rsid w:val="005F2D24"/>
    <w:rsid w:val="00653C87"/>
    <w:rsid w:val="006A3BAE"/>
    <w:rsid w:val="006D48B2"/>
    <w:rsid w:val="00735679"/>
    <w:rsid w:val="007E7A9D"/>
    <w:rsid w:val="008527D7"/>
    <w:rsid w:val="008929EA"/>
    <w:rsid w:val="00936779"/>
    <w:rsid w:val="009E628A"/>
    <w:rsid w:val="00A3668A"/>
    <w:rsid w:val="00A40B62"/>
    <w:rsid w:val="00AD7628"/>
    <w:rsid w:val="00B31503"/>
    <w:rsid w:val="00BE4F61"/>
    <w:rsid w:val="00C12008"/>
    <w:rsid w:val="00D0174F"/>
    <w:rsid w:val="00D465A9"/>
    <w:rsid w:val="00D949B5"/>
    <w:rsid w:val="00D9546B"/>
    <w:rsid w:val="00E57FB1"/>
    <w:rsid w:val="00F42A16"/>
    <w:rsid w:val="00F8747B"/>
    <w:rsid w:val="00FA6DBB"/>
    <w:rsid w:val="00FB5425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5157-1D5C-4736-9F91-A7714AEB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2017-06-06T06:46:00Z</dcterms:created>
  <dcterms:modified xsi:type="dcterms:W3CDTF">2017-06-06T06:46:00Z</dcterms:modified>
</cp:coreProperties>
</file>