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54038D">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Text8"/>
      <w:bookmarkStart w:id="2"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C373C">
        <w:rPr>
          <w:b/>
          <w:i/>
          <w:sz w:val="22"/>
          <w:szCs w:val="22"/>
        </w:rPr>
        <w:t xml:space="preserve">Eliška </w:t>
      </w:r>
      <w:proofErr w:type="spellStart"/>
      <w:r w:rsidR="002C373C">
        <w:rPr>
          <w:b/>
          <w:i/>
          <w:sz w:val="22"/>
          <w:szCs w:val="22"/>
        </w:rPr>
        <w:t>Gibalová</w:t>
      </w:r>
      <w:proofErr w:type="spellEnd"/>
      <w:r w:rsidR="005C5600" w:rsidRPr="00F506F8">
        <w:rPr>
          <w:b/>
          <w:i/>
          <w:sz w:val="22"/>
          <w:szCs w:val="22"/>
        </w:rPr>
        <w:fldChar w:fldCharType="end"/>
      </w:r>
      <w:bookmarkEnd w:id="1"/>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54038D">
        <w:fldChar w:fldCharType="separate"/>
      </w:r>
      <w:r w:rsidR="005C5600">
        <w:fldChar w:fldCharType="end"/>
      </w:r>
      <w:bookmarkEnd w:id="2"/>
      <w:r>
        <w:t xml:space="preserve"> 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7A6F">
        <w:rPr>
          <w:b/>
          <w:i/>
          <w:sz w:val="22"/>
          <w:szCs w:val="22"/>
        </w:rPr>
        <w:t>Ing. Markéta Slováková</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7A6F">
        <w:rPr>
          <w:b/>
          <w:i/>
          <w:sz w:val="22"/>
          <w:szCs w:val="22"/>
        </w:rPr>
        <w:t>2016/2017</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2C373C" w:rsidRPr="002C373C">
        <w:rPr>
          <w:b/>
          <w:i/>
          <w:sz w:val="22"/>
          <w:szCs w:val="22"/>
        </w:rPr>
        <w:t>Návrh opatření pro rozvoj agroturistiky v Olomouckém kraji</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4038D">
              <w:rPr>
                <w:b/>
                <w:snapToGrid w:val="0"/>
                <w:color w:val="000000"/>
              </w:rPr>
            </w:r>
            <w:r w:rsidR="0054038D">
              <w:rPr>
                <w:b/>
                <w:snapToGrid w:val="0"/>
                <w:color w:val="000000"/>
              </w:rPr>
              <w:fldChar w:fldCharType="separate"/>
            </w:r>
            <w:r>
              <w:rPr>
                <w:b/>
                <w:snapToGrid w:val="0"/>
                <w:color w:val="000000"/>
              </w:rPr>
              <w:fldChar w:fldCharType="end"/>
            </w:r>
            <w:bookmarkEnd w:id="6"/>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4038D">
              <w:rPr>
                <w:b/>
                <w:snapToGrid w:val="0"/>
                <w:color w:val="000000"/>
              </w:rPr>
            </w:r>
            <w:r w:rsidR="0054038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4038D">
              <w:rPr>
                <w:b/>
                <w:snapToGrid w:val="0"/>
                <w:color w:val="000000"/>
              </w:rPr>
            </w:r>
            <w:r w:rsidR="0054038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54038D">
              <w:rPr>
                <w:b/>
                <w:snapToGrid w:val="0"/>
                <w:color w:val="000000"/>
              </w:rPr>
            </w:r>
            <w:r w:rsidR="0054038D">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54038D">
              <w:rPr>
                <w:b/>
                <w:snapToGrid w:val="0"/>
                <w:color w:val="000000"/>
              </w:rPr>
            </w:r>
            <w:r w:rsidR="0054038D">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54038D">
              <w:rPr>
                <w:b/>
                <w:snapToGrid w:val="0"/>
                <w:color w:val="000000"/>
              </w:rPr>
            </w:r>
            <w:r w:rsidR="0054038D">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54038D">
              <w:rPr>
                <w:snapToGrid w:val="0"/>
                <w:color w:val="000000"/>
              </w:rPr>
            </w:r>
            <w:r w:rsidR="0054038D">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DC219A" w:rsidRPr="00FB1E25" w:rsidRDefault="005C5600" w:rsidP="00AF3C83">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F3C83">
              <w:rPr>
                <w:b/>
                <w:snapToGrid w:val="0"/>
                <w:color w:val="000000"/>
              </w:rPr>
              <w:t>19</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AF3C83"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AF3C83">
        <w:rPr>
          <w:i/>
          <w:noProof/>
        </w:rPr>
        <w:t xml:space="preserve">Předkládaná bakalářská práce je zhodnocením stavu a následným předložením návrhů na zlepšení tohoto stavu v oblasti agroturistiky v Olomouckém kraji. </w:t>
      </w:r>
    </w:p>
    <w:p w:rsidR="00AF3C83" w:rsidRDefault="00AF3C83" w:rsidP="003E1491">
      <w:pPr>
        <w:rPr>
          <w:i/>
          <w:noProof/>
        </w:rPr>
      </w:pPr>
      <w:r>
        <w:rPr>
          <w:i/>
          <w:noProof/>
        </w:rPr>
        <w:t>V úvodu práce studentka definuje cíle a metody práce. Zde však byly chybně zvoleny dílčí cíle práce. Ty jsou metodami práce, nikoli cílem. Jsou nástrojem, jak cílů dosáhnout.</w:t>
      </w:r>
    </w:p>
    <w:p w:rsidR="00AF3C83" w:rsidRDefault="00AF3C83" w:rsidP="003E1491">
      <w:pPr>
        <w:rPr>
          <w:i/>
          <w:noProof/>
        </w:rPr>
      </w:pPr>
      <w:r>
        <w:rPr>
          <w:i/>
          <w:noProof/>
        </w:rPr>
        <w:t>Teoretická část je rozsáhlou literární rešerší cestovního ruchu a agroturismu na území ČR v komparaci se zahraničím. Zde byla vhodně zvolena literatura i citování.</w:t>
      </w:r>
    </w:p>
    <w:p w:rsidR="0046028A" w:rsidRDefault="00AF3C83" w:rsidP="003E1491">
      <w:pPr>
        <w:rPr>
          <w:i/>
          <w:noProof/>
        </w:rPr>
      </w:pPr>
      <w:r>
        <w:rPr>
          <w:i/>
          <w:noProof/>
        </w:rPr>
        <w:t>V praktické části studentka analyzovala poznatky z teoretické části a provedla srovnání stávajícího stavu v oblasti cestovního ruchu a agroturistiky v Olomouckém kraji. Studentka provedla rozsáhlou SWOT analýzu</w:t>
      </w:r>
      <w:r w:rsidR="0046028A">
        <w:rPr>
          <w:i/>
          <w:noProof/>
        </w:rPr>
        <w:t>. V prkatické části bych doporučovala u jednotlivých kapitol doplnit dvě úvodní věty, aby podkapitoly nenavazovaly přímo na hlavní nadpis. Je zřejmé, že si studentka dala práci se SWOT analýzou. Navrhovala bych, aby tato část byla více rozepsána, kap. 5. 3.  není dostatečným zhodnocením současného stavu. Taktéž jsou některé části analýzy chybně rozřazeny.</w:t>
      </w:r>
    </w:p>
    <w:p w:rsidR="0046028A" w:rsidRDefault="0046028A" w:rsidP="003E1491">
      <w:pPr>
        <w:rPr>
          <w:i/>
          <w:noProof/>
        </w:rPr>
      </w:pPr>
      <w:r>
        <w:rPr>
          <w:i/>
          <w:noProof/>
        </w:rPr>
        <w:t xml:space="preserve">Návrhová část postrádá grafickou úroveň kvalifikační práce. Je výčtem možností, na které mohou agroturistická zařízení reagovat. V návrhové části absentuje přímá implementace návrhu na alespoň jedno zařízení v OK. V závěru studentka udává, že by si měly farmy zpracovávat vlastní SWOT analýzu. Nesouhlasím s názorem, že se jedná o jednoduchou, laikem snadno zpracovatelnou, metodu.  </w:t>
      </w:r>
    </w:p>
    <w:p w:rsidR="0046028A" w:rsidRDefault="0046028A" w:rsidP="003E1491">
      <w:pPr>
        <w:rPr>
          <w:i/>
          <w:noProof/>
        </w:rPr>
      </w:pPr>
    </w:p>
    <w:p w:rsidR="00DC219A" w:rsidRPr="00AE58C9" w:rsidRDefault="0046028A" w:rsidP="003E1491">
      <w:pPr>
        <w:rPr>
          <w:i/>
        </w:rPr>
      </w:pPr>
      <w:r>
        <w:rPr>
          <w:i/>
          <w:noProof/>
        </w:rPr>
        <w:t>1)Narazila jste při práci na lokalitu, která by mohla rozvinout agroturistiku na území OK</w:t>
      </w:r>
      <w:r w:rsidR="006C4F31">
        <w:rPr>
          <w:i/>
          <w:noProof/>
        </w:rPr>
        <w:t xml:space="preserve"> (kde a proč)</w:t>
      </w:r>
      <w:r>
        <w:rPr>
          <w:i/>
          <w:noProof/>
        </w:rPr>
        <w:t xml:space="preserve">, popř. </w:t>
      </w:r>
      <w:r w:rsidR="006C4F31">
        <w:rPr>
          <w:i/>
          <w:noProof/>
        </w:rPr>
        <w:t xml:space="preserve">které z již fungujících zařízení si žádá největší podporu regionu (jakou podporu navrhujete)? </w:t>
      </w:r>
      <w:r w:rsidR="005C5600">
        <w:rPr>
          <w:i/>
        </w:rPr>
        <w:fldChar w:fldCharType="end"/>
      </w:r>
      <w:bookmarkEnd w:id="8"/>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54038D">
        <w:rPr>
          <w:i/>
        </w:rPr>
      </w:r>
      <w:r w:rsidR="0054038D">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4038D">
        <w:rPr>
          <w:i/>
        </w:rPr>
      </w:r>
      <w:r w:rsidR="0054038D">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F3C83">
        <w:rPr>
          <w:i/>
        </w:rPr>
        <w:t>19. 5. 2017</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54038D">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38D" w:rsidRDefault="0054038D">
      <w:r>
        <w:separator/>
      </w:r>
    </w:p>
  </w:endnote>
  <w:endnote w:type="continuationSeparator" w:id="0">
    <w:p w:rsidR="0054038D" w:rsidRDefault="0054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38D" w:rsidRDefault="0054038D">
      <w:r>
        <w:separator/>
      </w:r>
    </w:p>
  </w:footnote>
  <w:footnote w:type="continuationSeparator" w:id="0">
    <w:p w:rsidR="0054038D" w:rsidRDefault="0054038D">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E1EDC"/>
    <w:rsid w:val="000E4BED"/>
    <w:rsid w:val="00107EC6"/>
    <w:rsid w:val="00132C42"/>
    <w:rsid w:val="0016014F"/>
    <w:rsid w:val="001A6F9F"/>
    <w:rsid w:val="001B5B85"/>
    <w:rsid w:val="001E0D4A"/>
    <w:rsid w:val="002126D4"/>
    <w:rsid w:val="00240D6D"/>
    <w:rsid w:val="00257A02"/>
    <w:rsid w:val="002639CA"/>
    <w:rsid w:val="00292769"/>
    <w:rsid w:val="00296250"/>
    <w:rsid w:val="002A4678"/>
    <w:rsid w:val="002B5820"/>
    <w:rsid w:val="002C373C"/>
    <w:rsid w:val="002E04A7"/>
    <w:rsid w:val="00314823"/>
    <w:rsid w:val="003526FB"/>
    <w:rsid w:val="003818AE"/>
    <w:rsid w:val="003C6485"/>
    <w:rsid w:val="003D36A5"/>
    <w:rsid w:val="003E1491"/>
    <w:rsid w:val="00412058"/>
    <w:rsid w:val="0042254A"/>
    <w:rsid w:val="004423C1"/>
    <w:rsid w:val="0046028A"/>
    <w:rsid w:val="0046571A"/>
    <w:rsid w:val="00474757"/>
    <w:rsid w:val="004B57A6"/>
    <w:rsid w:val="004F54EE"/>
    <w:rsid w:val="005358E6"/>
    <w:rsid w:val="0054038D"/>
    <w:rsid w:val="00554A01"/>
    <w:rsid w:val="00566326"/>
    <w:rsid w:val="00580F5F"/>
    <w:rsid w:val="005910F7"/>
    <w:rsid w:val="00591991"/>
    <w:rsid w:val="00592265"/>
    <w:rsid w:val="00593D25"/>
    <w:rsid w:val="005A16E2"/>
    <w:rsid w:val="005B2F76"/>
    <w:rsid w:val="005C5600"/>
    <w:rsid w:val="005C64F3"/>
    <w:rsid w:val="005E1278"/>
    <w:rsid w:val="005F679A"/>
    <w:rsid w:val="005F755D"/>
    <w:rsid w:val="00657A6F"/>
    <w:rsid w:val="006671D8"/>
    <w:rsid w:val="006B6178"/>
    <w:rsid w:val="006C4F31"/>
    <w:rsid w:val="006C738D"/>
    <w:rsid w:val="006E1AE5"/>
    <w:rsid w:val="006F1B78"/>
    <w:rsid w:val="00727728"/>
    <w:rsid w:val="007358A5"/>
    <w:rsid w:val="00743C53"/>
    <w:rsid w:val="00747CA6"/>
    <w:rsid w:val="00750650"/>
    <w:rsid w:val="00762294"/>
    <w:rsid w:val="0076724C"/>
    <w:rsid w:val="007D3E97"/>
    <w:rsid w:val="007D6146"/>
    <w:rsid w:val="00812F58"/>
    <w:rsid w:val="00831984"/>
    <w:rsid w:val="008375DD"/>
    <w:rsid w:val="00837ABF"/>
    <w:rsid w:val="008664B3"/>
    <w:rsid w:val="00873AF9"/>
    <w:rsid w:val="0087778A"/>
    <w:rsid w:val="008875A8"/>
    <w:rsid w:val="00897167"/>
    <w:rsid w:val="008B6839"/>
    <w:rsid w:val="008D5A6F"/>
    <w:rsid w:val="00913AF7"/>
    <w:rsid w:val="00922D6D"/>
    <w:rsid w:val="00971DE0"/>
    <w:rsid w:val="00983820"/>
    <w:rsid w:val="009B120D"/>
    <w:rsid w:val="009C0583"/>
    <w:rsid w:val="009C34E5"/>
    <w:rsid w:val="009D3840"/>
    <w:rsid w:val="00A0709B"/>
    <w:rsid w:val="00A11E00"/>
    <w:rsid w:val="00A421F7"/>
    <w:rsid w:val="00A57D9B"/>
    <w:rsid w:val="00A70749"/>
    <w:rsid w:val="00A83BD2"/>
    <w:rsid w:val="00A925F6"/>
    <w:rsid w:val="00AC6D49"/>
    <w:rsid w:val="00AD7083"/>
    <w:rsid w:val="00AE58C9"/>
    <w:rsid w:val="00AF3C83"/>
    <w:rsid w:val="00B23519"/>
    <w:rsid w:val="00B3178F"/>
    <w:rsid w:val="00B6346A"/>
    <w:rsid w:val="00BF307F"/>
    <w:rsid w:val="00BF6B5D"/>
    <w:rsid w:val="00C2327A"/>
    <w:rsid w:val="00C30044"/>
    <w:rsid w:val="00C447A8"/>
    <w:rsid w:val="00C476A0"/>
    <w:rsid w:val="00C72298"/>
    <w:rsid w:val="00C9306F"/>
    <w:rsid w:val="00CB4E27"/>
    <w:rsid w:val="00CD1219"/>
    <w:rsid w:val="00D1329A"/>
    <w:rsid w:val="00D71CB4"/>
    <w:rsid w:val="00DC219A"/>
    <w:rsid w:val="00DF1948"/>
    <w:rsid w:val="00E1292E"/>
    <w:rsid w:val="00E366A1"/>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20FC8D9-43A6-4695-B61D-7B7C9C73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4058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2017-05-22T06:20:00Z</cp:lastPrinted>
  <dcterms:created xsi:type="dcterms:W3CDTF">2017-05-22T06:20:00Z</dcterms:created>
  <dcterms:modified xsi:type="dcterms:W3CDTF">2017-05-22T06:20:00Z</dcterms:modified>
</cp:coreProperties>
</file>