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3"/>
        <w:gridCol w:w="1158"/>
        <w:gridCol w:w="2505"/>
        <w:gridCol w:w="467"/>
        <w:gridCol w:w="465"/>
        <w:gridCol w:w="465"/>
        <w:gridCol w:w="467"/>
        <w:gridCol w:w="465"/>
        <w:gridCol w:w="467"/>
      </w:tblGrid>
      <w:tr w:rsidR="006847E2" w:rsidRPr="00C50B27" w:rsidTr="005F2C7E">
        <w:tc>
          <w:tcPr>
            <w:tcW w:w="5000" w:type="pct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5F2C7E">
        <w:tc>
          <w:tcPr>
            <w:tcW w:w="1429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1" w:type="pct"/>
            <w:gridSpan w:val="8"/>
          </w:tcPr>
          <w:p w:rsidR="006847E2" w:rsidRPr="00C50B27" w:rsidRDefault="00FF64CB" w:rsidP="00FF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Machová</w:t>
            </w:r>
          </w:p>
        </w:tc>
      </w:tr>
      <w:tr w:rsidR="006847E2" w:rsidRPr="00C50B27" w:rsidTr="005F2C7E">
        <w:tc>
          <w:tcPr>
            <w:tcW w:w="1429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1" w:type="pct"/>
            <w:gridSpan w:val="8"/>
          </w:tcPr>
          <w:p w:rsidR="006847E2" w:rsidRPr="00C50B27" w:rsidRDefault="00FF6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studentů středních škol</w:t>
            </w:r>
          </w:p>
        </w:tc>
      </w:tr>
      <w:tr w:rsidR="006847E2" w:rsidRPr="00C50B27" w:rsidTr="005F2C7E">
        <w:tc>
          <w:tcPr>
            <w:tcW w:w="1429" w:type="pct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571" w:type="pct"/>
            <w:gridSpan w:val="8"/>
          </w:tcPr>
          <w:p w:rsidR="006847E2" w:rsidRPr="00C50B27" w:rsidRDefault="00FF6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6847E2" w:rsidRPr="00C50B27" w:rsidTr="005F2C7E">
        <w:tc>
          <w:tcPr>
            <w:tcW w:w="1429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1" w:type="pct"/>
            <w:gridSpan w:val="8"/>
          </w:tcPr>
          <w:p w:rsidR="006847E2" w:rsidRPr="00C50B27" w:rsidRDefault="00FF6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5F2C7E">
        <w:tc>
          <w:tcPr>
            <w:tcW w:w="1429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1" w:type="pct"/>
            <w:gridSpan w:val="8"/>
          </w:tcPr>
          <w:p w:rsidR="006847E2" w:rsidRPr="00C50B27" w:rsidRDefault="00616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FF64CB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5F2C7E">
        <w:tc>
          <w:tcPr>
            <w:tcW w:w="1429" w:type="pct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1" w:type="pct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5F2C7E">
        <w:tc>
          <w:tcPr>
            <w:tcW w:w="5000" w:type="pct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5F2C7E">
        <w:tc>
          <w:tcPr>
            <w:tcW w:w="3455" w:type="pct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F2C7E">
        <w:tc>
          <w:tcPr>
            <w:tcW w:w="3455" w:type="pct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F2C7E">
        <w:tc>
          <w:tcPr>
            <w:tcW w:w="3455" w:type="pct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F2C7E">
        <w:tc>
          <w:tcPr>
            <w:tcW w:w="5000" w:type="pct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5F2C7E">
        <w:tc>
          <w:tcPr>
            <w:tcW w:w="3455" w:type="pct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5F2C7E">
        <w:tc>
          <w:tcPr>
            <w:tcW w:w="3455" w:type="pct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5F2C7E">
        <w:tc>
          <w:tcPr>
            <w:tcW w:w="3455" w:type="pct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5F2C7E">
        <w:tc>
          <w:tcPr>
            <w:tcW w:w="5000" w:type="pct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5F2C7E">
        <w:tc>
          <w:tcPr>
            <w:tcW w:w="3455" w:type="pct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F2C7E">
        <w:tc>
          <w:tcPr>
            <w:tcW w:w="3455" w:type="pct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F2C7E">
        <w:tc>
          <w:tcPr>
            <w:tcW w:w="3455" w:type="pct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5F2C7E">
        <w:tc>
          <w:tcPr>
            <w:tcW w:w="3455" w:type="pct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F2C7E">
        <w:tc>
          <w:tcPr>
            <w:tcW w:w="5000" w:type="pct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5F2C7E">
        <w:tc>
          <w:tcPr>
            <w:tcW w:w="3455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F2C7E">
        <w:tc>
          <w:tcPr>
            <w:tcW w:w="3455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F2C7E">
        <w:tc>
          <w:tcPr>
            <w:tcW w:w="5000" w:type="pct"/>
            <w:gridSpan w:val="9"/>
          </w:tcPr>
          <w:p w:rsidR="00B411DB" w:rsidRPr="00C50B27" w:rsidRDefault="00B411DB" w:rsidP="005F2C7E">
            <w:pPr>
              <w:spacing w:before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 w:rsidR="005F2C7E">
              <w:rPr>
                <w:b/>
                <w:sz w:val="22"/>
                <w:szCs w:val="22"/>
              </w:rPr>
              <w:t>e</w:t>
            </w:r>
          </w:p>
          <w:p w:rsidR="0048226E" w:rsidRPr="00C50B27" w:rsidRDefault="001D4D94" w:rsidP="00482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F64CB">
              <w:rPr>
                <w:sz w:val="22"/>
                <w:szCs w:val="22"/>
              </w:rPr>
              <w:t>ráce je zaměřená na problematiku úrovně a preference ž</w:t>
            </w:r>
            <w:r w:rsidR="00FF64CB" w:rsidRPr="00FF64CB">
              <w:rPr>
                <w:sz w:val="22"/>
                <w:szCs w:val="22"/>
              </w:rPr>
              <w:t>ivotní</w:t>
            </w:r>
            <w:r w:rsidR="00FF64CB">
              <w:rPr>
                <w:sz w:val="22"/>
                <w:szCs w:val="22"/>
              </w:rPr>
              <w:t xml:space="preserve">ho stylu </w:t>
            </w:r>
            <w:r w:rsidR="00FF64CB" w:rsidRPr="00FF64CB">
              <w:rPr>
                <w:sz w:val="22"/>
                <w:szCs w:val="22"/>
              </w:rPr>
              <w:t>studentů středních škol</w:t>
            </w:r>
            <w:r w:rsidR="00FF64CB">
              <w:rPr>
                <w:sz w:val="22"/>
                <w:szCs w:val="22"/>
              </w:rPr>
              <w:t>.</w:t>
            </w:r>
            <w:r w:rsidR="0048226E">
              <w:rPr>
                <w:sz w:val="22"/>
                <w:szCs w:val="22"/>
              </w:rPr>
              <w:t xml:space="preserve"> Na základě četby BP se dále dozvídáme, že je cílem také zjištění faktorů, které životní styl studentů ovlivňují.</w:t>
            </w:r>
            <w:r>
              <w:rPr>
                <w:sz w:val="22"/>
                <w:szCs w:val="22"/>
              </w:rPr>
              <w:t xml:space="preserve"> Nicméně již v úvodu autorka dále uvádí, že jsou zkoumány také názory a postoje ovlivňující preferenci činností studentů ve volném čase</w:t>
            </w:r>
            <w:r w:rsidR="00F058B8">
              <w:rPr>
                <w:sz w:val="22"/>
                <w:szCs w:val="22"/>
              </w:rPr>
              <w:t xml:space="preserve"> a v praktické části práce se dokonce </w:t>
            </w:r>
            <w:r w:rsidR="00616EBC">
              <w:rPr>
                <w:sz w:val="22"/>
                <w:szCs w:val="22"/>
              </w:rPr>
              <w:t>dočteme</w:t>
            </w:r>
            <w:r w:rsidR="00F058B8">
              <w:rPr>
                <w:sz w:val="22"/>
                <w:szCs w:val="22"/>
              </w:rPr>
              <w:t>, že cílem práce je průzkum vybraných složek životního stylu studentů SŠ a zjištění míry jejich závislosti na moderních technologiích (</w:t>
            </w:r>
            <w:r w:rsidR="00616EBC">
              <w:rPr>
                <w:sz w:val="22"/>
                <w:szCs w:val="22"/>
              </w:rPr>
              <w:t>+</w:t>
            </w:r>
            <w:r w:rsidR="00F058B8">
              <w:rPr>
                <w:sz w:val="22"/>
                <w:szCs w:val="22"/>
              </w:rPr>
              <w:t xml:space="preserve"> také užívání návykových látek).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D4D94" w:rsidRDefault="001D4D94" w:rsidP="00362AB0">
            <w:pPr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B411DB" w:rsidRDefault="003446E2" w:rsidP="005F2C7E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F2C7E">
              <w:rPr>
                <w:sz w:val="22"/>
                <w:szCs w:val="22"/>
              </w:rPr>
              <w:tab/>
            </w:r>
            <w:r w:rsidR="00616E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Ačkoliv často zkoumané</w:t>
            </w:r>
            <w:r w:rsidR="00616EBC">
              <w:rPr>
                <w:sz w:val="22"/>
                <w:szCs w:val="22"/>
              </w:rPr>
              <w:t>) je t</w:t>
            </w:r>
            <w:r w:rsidR="00301A22">
              <w:rPr>
                <w:sz w:val="22"/>
                <w:szCs w:val="22"/>
              </w:rPr>
              <w:t xml:space="preserve">éma BP </w:t>
            </w:r>
            <w:r>
              <w:rPr>
                <w:sz w:val="22"/>
                <w:szCs w:val="22"/>
              </w:rPr>
              <w:t xml:space="preserve">pro teorii i praxi sociálního pedagoga </w:t>
            </w:r>
            <w:r w:rsidR="00301A22">
              <w:rPr>
                <w:sz w:val="22"/>
                <w:szCs w:val="22"/>
              </w:rPr>
              <w:t xml:space="preserve">stále </w:t>
            </w:r>
            <w:r>
              <w:rPr>
                <w:sz w:val="22"/>
                <w:szCs w:val="22"/>
              </w:rPr>
              <w:t>velmi aktuální a žádané.</w:t>
            </w:r>
          </w:p>
          <w:p w:rsidR="003446E2" w:rsidRDefault="003446E2" w:rsidP="005F2C7E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F2C7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Příležitost pro následnou aplikační formu výzkumu v 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D4D94" w:rsidRPr="001D4D94" w:rsidRDefault="001D4D94" w:rsidP="001D4D94">
            <w:pPr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B411DB" w:rsidRDefault="001D4D94" w:rsidP="003446E2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 w:rsidRPr="003446E2">
              <w:rPr>
                <w:sz w:val="22"/>
                <w:szCs w:val="22"/>
              </w:rPr>
              <w:t>Uvedený anglický abstrakt</w:t>
            </w:r>
            <w:r w:rsidR="00616EBC">
              <w:rPr>
                <w:sz w:val="22"/>
                <w:szCs w:val="22"/>
              </w:rPr>
              <w:t xml:space="preserve"> si zaslouží </w:t>
            </w:r>
            <w:r w:rsidRPr="003446E2">
              <w:rPr>
                <w:sz w:val="22"/>
                <w:szCs w:val="22"/>
              </w:rPr>
              <w:t>preciznější překlad.</w:t>
            </w:r>
          </w:p>
          <w:p w:rsidR="003446E2" w:rsidRDefault="003446E2" w:rsidP="003446E2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stručný úvod, ve kterém čtenář nenalézá skutečnou relevanci tématu, popis problému, pohnutky vedoucí k jeho zkoumání, širší souv</w:t>
            </w:r>
            <w:r w:rsidR="00144E88">
              <w:rPr>
                <w:sz w:val="22"/>
                <w:szCs w:val="22"/>
              </w:rPr>
              <w:t xml:space="preserve">islosti, dosavadní stav poznání (není sepsán v autorském plurálu tak, jak při tomto druhu práce běžně požadováno). </w:t>
            </w:r>
          </w:p>
          <w:p w:rsidR="00D86B68" w:rsidRDefault="00D86B68" w:rsidP="00D86B68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Značná část citované literatury (např. Kunzová &amp; Hrubá, 2013; Langmajer &amp; Krejčiříková, 2006; Pávková, 2008; Procházka, 2012; Průcha a kol., 1995</w:t>
            </w:r>
            <w:r w:rsidR="00616E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aj.) není uveden v seznamu použité literatury. Na mnohých částech textu naopak citace zcela chybí (např. s. 12, 13, 19, 20, 22</w:t>
            </w:r>
            <w:r w:rsidR="00616E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aj.). Vše uceleně vytváří pocit </w:t>
            </w:r>
            <w:r w:rsidR="00382034">
              <w:rPr>
                <w:sz w:val="22"/>
                <w:szCs w:val="22"/>
              </w:rPr>
              <w:t>nedokončené</w:t>
            </w:r>
            <w:r>
              <w:rPr>
                <w:sz w:val="22"/>
                <w:szCs w:val="22"/>
              </w:rPr>
              <w:t xml:space="preserve"> práce bez finální kontroly zcela základních částí</w:t>
            </w:r>
            <w:r w:rsidR="003820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jakou citovaná literatura bezesporu </w:t>
            </w:r>
            <w:r w:rsidR="00382034">
              <w:rPr>
                <w:sz w:val="22"/>
                <w:szCs w:val="22"/>
              </w:rPr>
              <w:t>představuje</w:t>
            </w:r>
            <w:r>
              <w:rPr>
                <w:sz w:val="22"/>
                <w:szCs w:val="22"/>
              </w:rPr>
              <w:t>.</w:t>
            </w:r>
          </w:p>
          <w:p w:rsidR="001D4D94" w:rsidRDefault="001D4D94" w:rsidP="003446E2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 w:rsidRPr="003446E2">
              <w:rPr>
                <w:sz w:val="22"/>
                <w:szCs w:val="22"/>
              </w:rPr>
              <w:lastRenderedPageBreak/>
              <w:t>Příliš široký „záběr“ výzkumného še</w:t>
            </w:r>
            <w:r w:rsidR="003446E2" w:rsidRPr="003446E2">
              <w:rPr>
                <w:sz w:val="22"/>
                <w:szCs w:val="22"/>
              </w:rPr>
              <w:t>tření, neumožňující autorce dostatečně kvalitně zvládnout stanovený výzkumný rozsah.</w:t>
            </w:r>
            <w:r w:rsidR="003446E2">
              <w:rPr>
                <w:sz w:val="22"/>
                <w:szCs w:val="22"/>
              </w:rPr>
              <w:t xml:space="preserve"> Doporučuji ucelenější formulaci cílů a jejich dodržení v praktické části.</w:t>
            </w:r>
          </w:p>
          <w:p w:rsidR="00AE7CDD" w:rsidRDefault="00AE7CDD" w:rsidP="003446E2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testované hypotéze se dozvídáme až ve zpracování dat. Její formulování chybí v úvodní části empirické části BP.</w:t>
            </w:r>
          </w:p>
          <w:p w:rsidR="00D86B68" w:rsidRDefault="00D86B68" w:rsidP="003446E2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těžce čitelné hodnoty uvedené při ručním výpočtu testového kritéria </w:t>
            </w:r>
            <w:r w:rsidRPr="00D86B68">
              <w:rPr>
                <w:i/>
                <w:sz w:val="22"/>
                <w:szCs w:val="22"/>
              </w:rPr>
              <w:t>x</w:t>
            </w:r>
            <w:r w:rsidRPr="00D86B68">
              <w:rPr>
                <w:i/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83729C">
              <w:rPr>
                <w:sz w:val="22"/>
                <w:szCs w:val="22"/>
              </w:rPr>
              <w:t>(Tabulka</w:t>
            </w:r>
            <w:r>
              <w:rPr>
                <w:sz w:val="22"/>
                <w:szCs w:val="22"/>
              </w:rPr>
              <w:t xml:space="preserve"> č. 1</w:t>
            </w:r>
            <w:r w:rsidR="0083729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s. 46) + nedostatečná interpretace. Není uvedena kritická hodnota testového kritéria </w:t>
            </w:r>
            <w:r w:rsidRPr="00D86B68">
              <w:rPr>
                <w:i/>
                <w:sz w:val="22"/>
                <w:szCs w:val="22"/>
              </w:rPr>
              <w:t>x</w:t>
            </w:r>
            <w:r w:rsidRPr="00D86B68">
              <w:rPr>
                <w:i/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a informace o jejím porovnání.</w:t>
            </w:r>
          </w:p>
          <w:p w:rsidR="00AE7CDD" w:rsidRDefault="00AE7CDD" w:rsidP="003446E2">
            <w:pPr>
              <w:pStyle w:val="Odstavecseseznamem"/>
              <w:numPr>
                <w:ilvl w:val="0"/>
                <w:numId w:val="3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Obecně používaný symbol pro stupeň volnosti je </w:t>
            </w:r>
            <w:r w:rsidRPr="00AE7CDD">
              <w:rPr>
                <w:i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hladinu významnosti je </w:t>
            </w:r>
            <w:r w:rsidRPr="00AE7CDD">
              <w:rPr>
                <w:i/>
                <w:sz w:val="22"/>
                <w:szCs w:val="22"/>
              </w:rPr>
              <w:t>α</w:t>
            </w:r>
            <w:r>
              <w:rPr>
                <w:sz w:val="22"/>
                <w:szCs w:val="22"/>
              </w:rPr>
              <w:t xml:space="preserve"> (viz s. 55). </w:t>
            </w:r>
          </w:p>
          <w:p w:rsidR="00144E88" w:rsidRDefault="00144E88" w:rsidP="00144E88">
            <w:pPr>
              <w:rPr>
                <w:sz w:val="22"/>
                <w:szCs w:val="22"/>
              </w:rPr>
            </w:pPr>
          </w:p>
          <w:p w:rsidR="00144E88" w:rsidRPr="00144E88" w:rsidRDefault="00144E88" w:rsidP="005F2C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</w:t>
            </w:r>
            <w:r w:rsidRPr="00144E88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>, nicméně lze cítit značnou „</w:t>
            </w:r>
            <w:proofErr w:type="spellStart"/>
            <w:r>
              <w:rPr>
                <w:sz w:val="22"/>
                <w:szCs w:val="22"/>
              </w:rPr>
              <w:t>nevypsanost</w:t>
            </w:r>
            <w:proofErr w:type="spellEnd"/>
            <w:r w:rsidR="0083729C">
              <w:rPr>
                <w:sz w:val="22"/>
                <w:szCs w:val="22"/>
              </w:rPr>
              <w:t>“ autorky při zpracování</w:t>
            </w:r>
            <w:r>
              <w:rPr>
                <w:sz w:val="22"/>
                <w:szCs w:val="22"/>
              </w:rPr>
              <w:t xml:space="preserve"> odborné vědecké práce a nutnost </w:t>
            </w:r>
            <w:r w:rsidR="0083729C">
              <w:rPr>
                <w:sz w:val="22"/>
                <w:szCs w:val="22"/>
              </w:rPr>
              <w:t>rozšíření znalostí</w:t>
            </w:r>
            <w:r>
              <w:rPr>
                <w:sz w:val="22"/>
                <w:szCs w:val="22"/>
              </w:rPr>
              <w:t xml:space="preserve"> v metodologii pedagogických věd. </w:t>
            </w:r>
            <w:r w:rsidR="00AE7CDD">
              <w:rPr>
                <w:sz w:val="22"/>
                <w:szCs w:val="22"/>
              </w:rPr>
              <w:t>Práci by prospěl</w:t>
            </w:r>
            <w:r w:rsidR="0083729C">
              <w:rPr>
                <w:sz w:val="22"/>
                <w:szCs w:val="22"/>
              </w:rPr>
              <w:t>a</w:t>
            </w:r>
            <w:r w:rsidR="00AE7CDD">
              <w:rPr>
                <w:sz w:val="22"/>
                <w:szCs w:val="22"/>
              </w:rPr>
              <w:t xml:space="preserve"> učesanější </w:t>
            </w:r>
            <w:r w:rsidR="0083729C">
              <w:rPr>
                <w:sz w:val="22"/>
                <w:szCs w:val="22"/>
              </w:rPr>
              <w:t xml:space="preserve">metodologie zkoumaného </w:t>
            </w:r>
            <w:r w:rsidR="00AE7CDD">
              <w:rPr>
                <w:sz w:val="22"/>
                <w:szCs w:val="22"/>
              </w:rPr>
              <w:t>tématu.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5F2C7E">
        <w:tc>
          <w:tcPr>
            <w:tcW w:w="5000" w:type="pct"/>
            <w:gridSpan w:val="9"/>
          </w:tcPr>
          <w:p w:rsidR="00B411DB" w:rsidRPr="00C50B27" w:rsidRDefault="00B411DB" w:rsidP="005F2C7E">
            <w:pPr>
              <w:spacing w:before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D4D94" w:rsidRPr="0083729C" w:rsidRDefault="001D4D94" w:rsidP="0083729C">
            <w:pPr>
              <w:pStyle w:val="Odstavecseseznamem"/>
              <w:numPr>
                <w:ilvl w:val="0"/>
                <w:numId w:val="1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považujete na základě výsledků Vaší práce za </w:t>
            </w:r>
            <w:r w:rsidR="00301A22">
              <w:rPr>
                <w:sz w:val="22"/>
                <w:szCs w:val="22"/>
              </w:rPr>
              <w:t>nejdůležitější zjištění?</w:t>
            </w:r>
          </w:p>
        </w:tc>
      </w:tr>
      <w:tr w:rsidR="00B411DB" w:rsidRPr="00C50B27" w:rsidTr="005F2C7E">
        <w:tc>
          <w:tcPr>
            <w:tcW w:w="3455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5F2C7E">
        <w:tc>
          <w:tcPr>
            <w:tcW w:w="2070" w:type="pct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1A22">
              <w:rPr>
                <w:sz w:val="22"/>
                <w:szCs w:val="22"/>
              </w:rPr>
              <w:t xml:space="preserve"> 28. 4. 2017</w:t>
            </w:r>
          </w:p>
        </w:tc>
        <w:tc>
          <w:tcPr>
            <w:tcW w:w="2930" w:type="pct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4D94">
              <w:rPr>
                <w:sz w:val="22"/>
                <w:szCs w:val="22"/>
              </w:rPr>
              <w:t xml:space="preserve"> Jitka Vaculíková, v. r.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10" w:rsidRDefault="00497610">
      <w:r>
        <w:separator/>
      </w:r>
    </w:p>
  </w:endnote>
  <w:endnote w:type="continuationSeparator" w:id="0">
    <w:p w:rsidR="00497610" w:rsidRDefault="0049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10" w:rsidRDefault="00497610">
      <w:r>
        <w:separator/>
      </w:r>
    </w:p>
  </w:footnote>
  <w:footnote w:type="continuationSeparator" w:id="0">
    <w:p w:rsidR="00497610" w:rsidRDefault="0049761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749C"/>
    <w:multiLevelType w:val="hybridMultilevel"/>
    <w:tmpl w:val="AA6A5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90715"/>
    <w:multiLevelType w:val="hybridMultilevel"/>
    <w:tmpl w:val="FEFCCB00"/>
    <w:lvl w:ilvl="0" w:tplc="229C1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9"/>
    <w:rsid w:val="00144E88"/>
    <w:rsid w:val="00154AF9"/>
    <w:rsid w:val="00154F27"/>
    <w:rsid w:val="001D4D94"/>
    <w:rsid w:val="001F3E7A"/>
    <w:rsid w:val="00301A22"/>
    <w:rsid w:val="003446E2"/>
    <w:rsid w:val="00362AB0"/>
    <w:rsid w:val="00382034"/>
    <w:rsid w:val="003F5DA2"/>
    <w:rsid w:val="0048226E"/>
    <w:rsid w:val="00485929"/>
    <w:rsid w:val="00497610"/>
    <w:rsid w:val="00512982"/>
    <w:rsid w:val="00526D47"/>
    <w:rsid w:val="0055255D"/>
    <w:rsid w:val="005C219A"/>
    <w:rsid w:val="005F2C7E"/>
    <w:rsid w:val="00616EBC"/>
    <w:rsid w:val="00622B08"/>
    <w:rsid w:val="006847E2"/>
    <w:rsid w:val="00686615"/>
    <w:rsid w:val="007553A2"/>
    <w:rsid w:val="0083729C"/>
    <w:rsid w:val="008614B3"/>
    <w:rsid w:val="009A27D5"/>
    <w:rsid w:val="009D088D"/>
    <w:rsid w:val="00AE7CDD"/>
    <w:rsid w:val="00B411DB"/>
    <w:rsid w:val="00BA3203"/>
    <w:rsid w:val="00C50B27"/>
    <w:rsid w:val="00CA7D64"/>
    <w:rsid w:val="00D05C79"/>
    <w:rsid w:val="00D86B68"/>
    <w:rsid w:val="00DC1BF5"/>
    <w:rsid w:val="00E709EA"/>
    <w:rsid w:val="00ED2FBE"/>
    <w:rsid w:val="00F058B8"/>
    <w:rsid w:val="00F1326B"/>
    <w:rsid w:val="00FD352A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2A6CE-2A00-4A50-BE26-89E6A2A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D4D9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86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8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OPONENTA%20BAKAL&#193;&#344;SK&#201;%20PR&#193;CE_2015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PRÁCE_2015-2</Template>
  <TotalTime>115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Autor</cp:lastModifiedBy>
  <cp:revision>7</cp:revision>
  <cp:lastPrinted>2017-04-28T09:18:00Z</cp:lastPrinted>
  <dcterms:created xsi:type="dcterms:W3CDTF">2017-04-25T16:17:00Z</dcterms:created>
  <dcterms:modified xsi:type="dcterms:W3CDTF">2017-05-03T07:49:00Z</dcterms:modified>
</cp:coreProperties>
</file>