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585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3D4585" w:rsidRPr="005D079A" w:rsidRDefault="003D4585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3D4585" w:rsidRDefault="003D4585" w:rsidP="00D01FE8">
            <w:pPr>
              <w:pStyle w:val="Standard"/>
            </w:pPr>
            <w:r>
              <w:t xml:space="preserve">Úroveň znalostí </w:t>
            </w:r>
            <w:proofErr w:type="spellStart"/>
            <w:r>
              <w:t>sestier</w:t>
            </w:r>
            <w:proofErr w:type="spellEnd"/>
            <w:r>
              <w:t xml:space="preserve"> v oblasti </w:t>
            </w:r>
            <w:proofErr w:type="spellStart"/>
            <w:r>
              <w:t>resuscitácie</w:t>
            </w:r>
            <w:proofErr w:type="spellEnd"/>
            <w:r>
              <w:t xml:space="preserve"> </w:t>
            </w:r>
            <w:proofErr w:type="spellStart"/>
            <w:r>
              <w:t>novorodenca</w:t>
            </w:r>
            <w:proofErr w:type="spellEnd"/>
          </w:p>
        </w:tc>
      </w:tr>
      <w:tr w:rsidR="003D4585" w:rsidRPr="005D079A" w:rsidTr="007F31CD">
        <w:tc>
          <w:tcPr>
            <w:tcW w:w="3035" w:type="dxa"/>
            <w:gridSpan w:val="2"/>
          </w:tcPr>
          <w:p w:rsidR="003D4585" w:rsidRPr="005D079A" w:rsidRDefault="003D4585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3D4585" w:rsidRDefault="003D4585" w:rsidP="00D01FE8">
            <w:pPr>
              <w:pStyle w:val="Standard"/>
            </w:pPr>
            <w:proofErr w:type="spellStart"/>
            <w:r>
              <w:t>Tajana</w:t>
            </w:r>
            <w:proofErr w:type="spellEnd"/>
            <w:r>
              <w:t xml:space="preserve"> Popovičová</w:t>
            </w:r>
          </w:p>
        </w:tc>
      </w:tr>
      <w:tr w:rsidR="003D4585" w:rsidRPr="005D079A" w:rsidTr="007F31CD">
        <w:tc>
          <w:tcPr>
            <w:tcW w:w="3035" w:type="dxa"/>
            <w:gridSpan w:val="2"/>
          </w:tcPr>
          <w:p w:rsidR="003D4585" w:rsidRPr="005D079A" w:rsidRDefault="003D4585" w:rsidP="004D114B">
            <w:r w:rsidRPr="005D079A">
              <w:t>Vedoucí práce:</w:t>
            </w:r>
          </w:p>
        </w:tc>
        <w:tc>
          <w:tcPr>
            <w:tcW w:w="6258" w:type="dxa"/>
            <w:gridSpan w:val="19"/>
          </w:tcPr>
          <w:p w:rsidR="003D4585" w:rsidRDefault="003D4585" w:rsidP="00D01FE8">
            <w:pPr>
              <w:pStyle w:val="Standard"/>
            </w:pPr>
            <w:r>
              <w:t>Mgr. Martina Králíková</w:t>
            </w:r>
          </w:p>
        </w:tc>
      </w:tr>
      <w:tr w:rsidR="003D4585" w:rsidRPr="005D079A" w:rsidTr="007F31CD">
        <w:tc>
          <w:tcPr>
            <w:tcW w:w="3035" w:type="dxa"/>
            <w:gridSpan w:val="2"/>
          </w:tcPr>
          <w:p w:rsidR="003D4585" w:rsidRPr="005D079A" w:rsidRDefault="003D4585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3D4585" w:rsidRDefault="003D4585" w:rsidP="00D01FE8">
            <w:pPr>
              <w:pStyle w:val="Standard"/>
            </w:pPr>
            <w:r>
              <w:t>Porodní asistentka</w:t>
            </w:r>
          </w:p>
        </w:tc>
      </w:tr>
      <w:tr w:rsidR="003D4585" w:rsidRPr="005D079A" w:rsidTr="007F31CD">
        <w:tc>
          <w:tcPr>
            <w:tcW w:w="3035" w:type="dxa"/>
            <w:gridSpan w:val="2"/>
          </w:tcPr>
          <w:p w:rsidR="003D4585" w:rsidRPr="005D079A" w:rsidRDefault="003D4585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3D4585" w:rsidRDefault="003D4585" w:rsidP="00D01FE8">
            <w:pPr>
              <w:pStyle w:val="Standard"/>
            </w:pPr>
            <w:r>
              <w:t>Ústav zdravotnických věd</w:t>
            </w:r>
          </w:p>
        </w:tc>
      </w:tr>
      <w:tr w:rsidR="003D4585" w:rsidRPr="005D079A" w:rsidTr="007F31CD">
        <w:tc>
          <w:tcPr>
            <w:tcW w:w="3035" w:type="dxa"/>
            <w:gridSpan w:val="2"/>
          </w:tcPr>
          <w:p w:rsidR="003D4585" w:rsidRPr="005D079A" w:rsidRDefault="003D4585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3D4585" w:rsidRDefault="003D4585" w:rsidP="00D01FE8">
            <w:pPr>
              <w:pStyle w:val="Standard"/>
            </w:pPr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RPr="00FA4B70" w:rsidTr="007F31CD">
        <w:tc>
          <w:tcPr>
            <w:tcW w:w="5045" w:type="dxa"/>
            <w:gridSpan w:val="5"/>
          </w:tcPr>
          <w:p w:rsidR="003D4585" w:rsidRPr="00FA4B70" w:rsidRDefault="003D4585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3D4585" w:rsidRDefault="003D4585" w:rsidP="00D01FE8">
            <w:pPr>
              <w:pStyle w:val="Standard"/>
              <w:jc w:val="center"/>
              <w:rPr>
                <w:i/>
              </w:rPr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RPr="00FA4B70" w:rsidTr="007F31CD">
        <w:tc>
          <w:tcPr>
            <w:tcW w:w="5045" w:type="dxa"/>
            <w:gridSpan w:val="5"/>
          </w:tcPr>
          <w:p w:rsidR="003D4585" w:rsidRPr="00FA4B70" w:rsidRDefault="003D4585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3D4585" w:rsidRDefault="003D4585" w:rsidP="00D01FE8">
            <w:pPr>
              <w:pStyle w:val="Standard"/>
              <w:jc w:val="center"/>
              <w:rPr>
                <w:b/>
                <w:i/>
              </w:rPr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3D4585" w:rsidTr="007F31CD">
        <w:tc>
          <w:tcPr>
            <w:tcW w:w="5045" w:type="dxa"/>
            <w:gridSpan w:val="5"/>
          </w:tcPr>
          <w:p w:rsidR="003D4585" w:rsidRDefault="003D4585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3D4585" w:rsidRDefault="003D4585" w:rsidP="00D01FE8">
            <w:pPr>
              <w:pStyle w:val="Standard"/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124153" w:rsidP="008228FA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dr w:val="single" w:sz="4" w:space="0" w:color="auto"/>
                </w:rPr>
                <w:id w:val="-1775696486"/>
              </w:sdtPr>
              <w:sdtEndPr/>
              <w:sdtContent>
                <w:r w:rsidR="008228FA" w:rsidRPr="008228FA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124153" w:rsidP="008228FA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8228FA" w:rsidRPr="008228FA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124153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124153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CD7504" w:rsidRDefault="00CD7504" w:rsidP="004D114B">
            <w:pPr>
              <w:rPr>
                <w:b/>
              </w:rPr>
            </w:pPr>
          </w:p>
          <w:p w:rsidR="00CD7504" w:rsidRDefault="00CD7504" w:rsidP="004D114B">
            <w:pPr>
              <w:rPr>
                <w:b/>
              </w:rPr>
            </w:pPr>
          </w:p>
          <w:p w:rsidR="00CD7504" w:rsidRDefault="00CD7504" w:rsidP="004D114B">
            <w:pPr>
              <w:rPr>
                <w:b/>
              </w:rPr>
            </w:pPr>
          </w:p>
          <w:p w:rsidR="00CD7504" w:rsidRDefault="00CD7504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CD7504" w:rsidRDefault="00CD7504" w:rsidP="00CD7504">
            <w:pPr>
              <w:pStyle w:val="Standard"/>
            </w:pPr>
          </w:p>
          <w:p w:rsidR="003D4585" w:rsidRDefault="003D4585" w:rsidP="003D4585">
            <w:pPr>
              <w:pStyle w:val="Standard"/>
              <w:spacing w:line="100" w:lineRule="atLeast"/>
            </w:pPr>
            <w:r>
              <w:t>Autorka se ve své práci zabývá problematikou resuscitace novorozence. V teoretické části výstižně charakterizuje novorozenecké období a stavy vedoucí k resuscitaci novorozenců. Další část je pak věnována algoritmu při resu</w:t>
            </w:r>
            <w:r w:rsidR="001A0365">
              <w:t>s</w:t>
            </w:r>
            <w:r>
              <w:t>citaci s odkazem na nejnovější doporučení evropské resuscitační rady (ERC 2015). V samostatné kapitole popisuje modifikované kroky resuscitace novorozence používané na novorozeneckém oddělení KNTB a.s. Zlín.</w:t>
            </w:r>
          </w:p>
          <w:p w:rsidR="003D4585" w:rsidRDefault="003D4585" w:rsidP="003D4585">
            <w:pPr>
              <w:pStyle w:val="Standard"/>
              <w:spacing w:line="100" w:lineRule="atLeast"/>
            </w:pPr>
            <w:r>
              <w:t>V praktické části si autorka stanovila jeden hlavní cíl a dva vedlejší cíle, použila metodu kvantitativního výzkumu provedeného pomocí dotazníku pro sestry. Výsledky šetření jsou zpracovány přehledně do tabulek a grafů. V diskuzi jsou podrobně rozebrány výsledky jak v oblasti teoretických</w:t>
            </w:r>
            <w:r w:rsidR="001250E1">
              <w:t>,</w:t>
            </w:r>
            <w:r>
              <w:t xml:space="preserve"> tak i praktických znalostí a součástí je i doporučení pro praxi.  Vzhledem k tomu, že povinností zaměstna</w:t>
            </w:r>
            <w:r w:rsidR="001A0365">
              <w:t>n</w:t>
            </w:r>
            <w:r>
              <w:t>ce v KNTB a.s. Zlín, je absolvovat každoročně školení zaměřené na resuscitaci, mohou tyto výsledky sloužit jako zpětná vazba, zda jsou znalosti zaměstna</w:t>
            </w:r>
            <w:r w:rsidR="001A0365">
              <w:t>n</w:t>
            </w:r>
            <w:r>
              <w:t>ců aktuální a dostatečné</w:t>
            </w:r>
            <w:r w:rsidR="001250E1">
              <w:t>,</w:t>
            </w:r>
            <w:r>
              <w:t xml:space="preserve"> či ne. Práci hodnotím jako velmi zdařilou.</w:t>
            </w:r>
          </w:p>
          <w:p w:rsidR="00CD7504" w:rsidRDefault="00CD7504" w:rsidP="00CD7504">
            <w:pPr>
              <w:pStyle w:val="Standard"/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3D4585" w:rsidRPr="003D4585" w:rsidRDefault="003D4585" w:rsidP="003D4585">
            <w:pPr>
              <w:pStyle w:val="Standard"/>
              <w:numPr>
                <w:ilvl w:val="0"/>
                <w:numId w:val="5"/>
              </w:numPr>
            </w:pPr>
            <w:r w:rsidRPr="003D4585">
              <w:t>Jaká doporučení pro praxi vyplývají z Vašeho šetření.</w:t>
            </w:r>
          </w:p>
          <w:p w:rsidR="003D4585" w:rsidRPr="003D4585" w:rsidRDefault="003D4585" w:rsidP="003D4585">
            <w:pPr>
              <w:pStyle w:val="Standard"/>
              <w:numPr>
                <w:ilvl w:val="0"/>
                <w:numId w:val="5"/>
              </w:numPr>
            </w:pPr>
            <w:r w:rsidRPr="003D4585">
              <w:t>Je důležité školit sestry v oblasti resuscitace pravidelně? Proč?</w:t>
            </w:r>
          </w:p>
          <w:p w:rsidR="000F38C8" w:rsidRPr="00187AB6" w:rsidRDefault="000F38C8" w:rsidP="003D4585">
            <w:pPr>
              <w:pStyle w:val="Odstavecseseznamem"/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124153" w:rsidP="008228FA">
            <w:pPr>
              <w:rPr>
                <w:sz w:val="20"/>
                <w:szCs w:val="20"/>
              </w:rPr>
            </w:pPr>
            <w:sdt>
              <w:sdtPr>
                <w:rPr>
                  <w:bdr w:val="single" w:sz="4" w:space="0" w:color="auto"/>
                </w:rPr>
                <w:id w:val="1310674911"/>
              </w:sdtPr>
              <w:sdtEndPr/>
              <w:sdtContent>
                <w:sdt>
                  <w:sdtPr>
                    <w:rPr>
                      <w:bdr w:val="single" w:sz="4" w:space="0" w:color="auto"/>
                    </w:rPr>
                    <w:id w:val="-1203790730"/>
                  </w:sdtPr>
                  <w:sdtEndPr/>
                  <w:sdtContent>
                    <w:r w:rsidR="008228FA" w:rsidRPr="008228FA">
                      <w:rPr>
                        <w:rFonts w:ascii="MS Gothic" w:eastAsia="MS Gothic" w:hAnsi="MS Gothic" w:hint="eastAsia"/>
                        <w:bdr w:val="single" w:sz="4" w:space="0" w:color="auto"/>
                      </w:rPr>
                      <w:t>×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124153" w:rsidP="008228FA">
            <w:sdt>
              <w:sdtPr>
                <w:id w:val="1969246049"/>
              </w:sdtPr>
              <w:sdtEndPr/>
              <w:sdtContent>
                <w:r w:rsidR="008228FA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124153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124153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124153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124153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12415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124153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124153" w:rsidP="00175A13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r w:rsidR="00175A13" w:rsidRPr="00175A13">
                  <w:rPr>
                    <w:b/>
                  </w:rPr>
                  <w:t xml:space="preserve"> X </w:t>
                </w:r>
              </w:sdtContent>
            </w:sdt>
            <w:r w:rsidR="000F38C8" w:rsidRPr="00175A13">
              <w:rPr>
                <w:b/>
              </w:rPr>
              <w:t>negativním</w:t>
            </w:r>
            <w:r w:rsidR="000F38C8">
              <w:t xml:space="preserve"> </w:t>
            </w:r>
            <w:bookmarkStart w:id="0" w:name="_GoBack"/>
            <w:bookmarkEnd w:id="0"/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175A13">
              <w:t xml:space="preserve"> 30. 5. 2017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175A13">
              <w:t xml:space="preserve"> Mgr. Martina Králíková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53" w:rsidRDefault="00124153" w:rsidP="004C45B6">
      <w:pPr>
        <w:spacing w:after="0" w:line="240" w:lineRule="auto"/>
      </w:pPr>
      <w:r>
        <w:separator/>
      </w:r>
    </w:p>
  </w:endnote>
  <w:endnote w:type="continuationSeparator" w:id="0">
    <w:p w:rsidR="00124153" w:rsidRDefault="0012415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53" w:rsidRDefault="00124153" w:rsidP="004C45B6">
      <w:pPr>
        <w:spacing w:after="0" w:line="240" w:lineRule="auto"/>
      </w:pPr>
      <w:r>
        <w:separator/>
      </w:r>
    </w:p>
  </w:footnote>
  <w:footnote w:type="continuationSeparator" w:id="0">
    <w:p w:rsidR="00124153" w:rsidRDefault="0012415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844"/>
    <w:multiLevelType w:val="hybridMultilevel"/>
    <w:tmpl w:val="21262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84FC5"/>
    <w:multiLevelType w:val="hybridMultilevel"/>
    <w:tmpl w:val="D4B01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B3451"/>
    <w:multiLevelType w:val="hybridMultilevel"/>
    <w:tmpl w:val="AB742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60D1E"/>
    <w:rsid w:val="000905F0"/>
    <w:rsid w:val="000F38C8"/>
    <w:rsid w:val="00124153"/>
    <w:rsid w:val="001250E1"/>
    <w:rsid w:val="00127679"/>
    <w:rsid w:val="00153ABC"/>
    <w:rsid w:val="0015622B"/>
    <w:rsid w:val="00175A13"/>
    <w:rsid w:val="00187AB6"/>
    <w:rsid w:val="001A0365"/>
    <w:rsid w:val="001A46BE"/>
    <w:rsid w:val="001B148C"/>
    <w:rsid w:val="002202E0"/>
    <w:rsid w:val="00252416"/>
    <w:rsid w:val="00272B90"/>
    <w:rsid w:val="00274165"/>
    <w:rsid w:val="00275439"/>
    <w:rsid w:val="002A558B"/>
    <w:rsid w:val="002A7C9E"/>
    <w:rsid w:val="002C177F"/>
    <w:rsid w:val="00332E2B"/>
    <w:rsid w:val="00384E64"/>
    <w:rsid w:val="003925D9"/>
    <w:rsid w:val="003B71F4"/>
    <w:rsid w:val="003D4585"/>
    <w:rsid w:val="004317FA"/>
    <w:rsid w:val="00446C50"/>
    <w:rsid w:val="00451FDE"/>
    <w:rsid w:val="0047082F"/>
    <w:rsid w:val="004732B8"/>
    <w:rsid w:val="00487D8D"/>
    <w:rsid w:val="004C45B6"/>
    <w:rsid w:val="004D114B"/>
    <w:rsid w:val="004E2622"/>
    <w:rsid w:val="00501EB7"/>
    <w:rsid w:val="00514F4A"/>
    <w:rsid w:val="005200F9"/>
    <w:rsid w:val="00523649"/>
    <w:rsid w:val="00560FD5"/>
    <w:rsid w:val="00580270"/>
    <w:rsid w:val="00580D61"/>
    <w:rsid w:val="00585D57"/>
    <w:rsid w:val="005A5412"/>
    <w:rsid w:val="005B4771"/>
    <w:rsid w:val="005C486A"/>
    <w:rsid w:val="005D079A"/>
    <w:rsid w:val="005E0759"/>
    <w:rsid w:val="005E4C88"/>
    <w:rsid w:val="00623491"/>
    <w:rsid w:val="00631D5B"/>
    <w:rsid w:val="00657971"/>
    <w:rsid w:val="00667FD5"/>
    <w:rsid w:val="006913C6"/>
    <w:rsid w:val="00705FA6"/>
    <w:rsid w:val="00707EBF"/>
    <w:rsid w:val="0071495A"/>
    <w:rsid w:val="00730C11"/>
    <w:rsid w:val="007F31CD"/>
    <w:rsid w:val="008228FA"/>
    <w:rsid w:val="008B6008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52051"/>
    <w:rsid w:val="00C61293"/>
    <w:rsid w:val="00C64D29"/>
    <w:rsid w:val="00CD7504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231B"/>
  <w15:docId w15:val="{9CD29E46-721C-4D60-A5E8-7AD75C23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Standard">
    <w:name w:val="Standard"/>
    <w:rsid w:val="00CD750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itulek1">
    <w:name w:val="Titulek1"/>
    <w:basedOn w:val="Standard"/>
    <w:rsid w:val="00187AB6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KNTB, a.s.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 Husková</cp:lastModifiedBy>
  <cp:revision>2</cp:revision>
  <cp:lastPrinted>2015-09-02T08:37:00Z</cp:lastPrinted>
  <dcterms:created xsi:type="dcterms:W3CDTF">2017-06-02T06:05:00Z</dcterms:created>
  <dcterms:modified xsi:type="dcterms:W3CDTF">2017-06-02T06:05:00Z</dcterms:modified>
</cp:coreProperties>
</file>