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F1" w:rsidRPr="00FE1061" w:rsidRDefault="005D09F1" w:rsidP="001471ED"/>
    <w:tbl>
      <w:tblPr>
        <w:tblW w:w="509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3686"/>
        <w:gridCol w:w="401"/>
        <w:gridCol w:w="388"/>
        <w:gridCol w:w="388"/>
        <w:gridCol w:w="384"/>
        <w:gridCol w:w="375"/>
        <w:gridCol w:w="365"/>
      </w:tblGrid>
      <w:tr w:rsidR="005D09F1" w:rsidRPr="00FE1061" w:rsidTr="007563E2">
        <w:tc>
          <w:tcPr>
            <w:tcW w:w="5000" w:type="pct"/>
            <w:gridSpan w:val="8"/>
            <w:tcBorders>
              <w:top w:val="single" w:sz="12" w:space="0" w:color="auto"/>
            </w:tcBorders>
          </w:tcPr>
          <w:p w:rsidR="005D09F1" w:rsidRPr="00FE1061" w:rsidRDefault="005D09F1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5D09F1" w:rsidRPr="00FE1061" w:rsidTr="007563E2">
        <w:tc>
          <w:tcPr>
            <w:tcW w:w="1837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3" w:type="pct"/>
            <w:gridSpan w:val="7"/>
          </w:tcPr>
          <w:p w:rsidR="005D09F1" w:rsidRPr="00FE1061" w:rsidRDefault="00816864" w:rsidP="00261F9D">
            <w:r>
              <w:t>Ing. Kateřina HOLČÁKOVÁ</w:t>
            </w:r>
          </w:p>
        </w:tc>
      </w:tr>
      <w:tr w:rsidR="005D09F1" w:rsidRPr="00FE1061" w:rsidTr="007563E2">
        <w:tc>
          <w:tcPr>
            <w:tcW w:w="1837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3" w:type="pct"/>
            <w:gridSpan w:val="7"/>
          </w:tcPr>
          <w:p w:rsidR="005D09F1" w:rsidRPr="00FE1061" w:rsidRDefault="00816864" w:rsidP="007B4B9C">
            <w:r>
              <w:t>UČITELSKÁ ODPOVĚDNOST ZA ŽÁKA</w:t>
            </w:r>
          </w:p>
        </w:tc>
      </w:tr>
      <w:tr w:rsidR="005D09F1" w:rsidRPr="00FE1061" w:rsidTr="007563E2">
        <w:tc>
          <w:tcPr>
            <w:tcW w:w="1837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3" w:type="pct"/>
            <w:gridSpan w:val="7"/>
          </w:tcPr>
          <w:p w:rsidR="005D09F1" w:rsidRPr="00FE1061" w:rsidRDefault="00816864" w:rsidP="00261F9D">
            <w:r>
              <w:t>Prof. PhDr. Hana Lukášová, CSc.</w:t>
            </w:r>
          </w:p>
        </w:tc>
      </w:tr>
      <w:tr w:rsidR="005D09F1" w:rsidRPr="00FE1061" w:rsidTr="007563E2">
        <w:tc>
          <w:tcPr>
            <w:tcW w:w="1837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3" w:type="pct"/>
            <w:gridSpan w:val="7"/>
          </w:tcPr>
          <w:p w:rsidR="005D09F1" w:rsidRPr="00FE1061" w:rsidRDefault="00816864" w:rsidP="00261F9D">
            <w:r>
              <w:t>Učitelství odborných předmětů pro SŠ</w:t>
            </w:r>
          </w:p>
        </w:tc>
      </w:tr>
      <w:tr w:rsidR="005D09F1" w:rsidRPr="00FE1061" w:rsidTr="007563E2">
        <w:tc>
          <w:tcPr>
            <w:tcW w:w="1837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3" w:type="pct"/>
            <w:gridSpan w:val="7"/>
          </w:tcPr>
          <w:p w:rsidR="005D09F1" w:rsidRPr="00FE1061" w:rsidRDefault="00816864" w:rsidP="00261F9D">
            <w:r>
              <w:t>kombinovaná</w:t>
            </w:r>
          </w:p>
        </w:tc>
      </w:tr>
      <w:tr w:rsidR="005D09F1" w:rsidRPr="00FE1061" w:rsidTr="007563E2">
        <w:tc>
          <w:tcPr>
            <w:tcW w:w="1837" w:type="pct"/>
            <w:vAlign w:val="center"/>
          </w:tcPr>
          <w:p w:rsidR="005D09F1" w:rsidRPr="00FE1061" w:rsidRDefault="005D09F1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3" w:type="pct"/>
            <w:gridSpan w:val="7"/>
          </w:tcPr>
          <w:p w:rsidR="005D09F1" w:rsidRPr="00FE1061" w:rsidRDefault="005D09F1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5D09F1" w:rsidRPr="00FE1061" w:rsidRDefault="005D09F1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5D09F1" w:rsidRPr="00FE1061" w:rsidTr="007563E2">
        <w:tc>
          <w:tcPr>
            <w:tcW w:w="5000" w:type="pct"/>
            <w:gridSpan w:val="8"/>
            <w:shd w:val="clear" w:color="auto" w:fill="A6A6A6"/>
          </w:tcPr>
          <w:p w:rsidR="005D09F1" w:rsidRPr="00FE1061" w:rsidRDefault="005D09F1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5D09F1" w:rsidRPr="00FE1061" w:rsidTr="007563E2">
        <w:tc>
          <w:tcPr>
            <w:tcW w:w="3784" w:type="pct"/>
            <w:gridSpan w:val="2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5D09F1" w:rsidRPr="002C2527" w:rsidRDefault="003246CB" w:rsidP="00261F9D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61F9D">
            <w:pPr>
              <w:jc w:val="center"/>
            </w:pPr>
          </w:p>
        </w:tc>
        <w:tc>
          <w:tcPr>
            <w:tcW w:w="203" w:type="pct"/>
            <w:vAlign w:val="center"/>
          </w:tcPr>
          <w:p w:rsidR="005D09F1" w:rsidRPr="002C2527" w:rsidRDefault="005D09F1" w:rsidP="009E6464"/>
        </w:tc>
        <w:tc>
          <w:tcPr>
            <w:tcW w:w="198" w:type="pct"/>
            <w:vAlign w:val="center"/>
          </w:tcPr>
          <w:p w:rsidR="005D09F1" w:rsidRPr="002C2527" w:rsidRDefault="005D09F1" w:rsidP="00261F9D">
            <w:pPr>
              <w:jc w:val="center"/>
            </w:pPr>
          </w:p>
        </w:tc>
        <w:tc>
          <w:tcPr>
            <w:tcW w:w="193" w:type="pct"/>
            <w:vAlign w:val="center"/>
          </w:tcPr>
          <w:p w:rsidR="005D09F1" w:rsidRPr="002C2527" w:rsidRDefault="005D09F1" w:rsidP="00261F9D">
            <w:pPr>
              <w:jc w:val="center"/>
            </w:pPr>
          </w:p>
        </w:tc>
      </w:tr>
      <w:tr w:rsidR="005D09F1" w:rsidRPr="00FE1061" w:rsidTr="007563E2">
        <w:tc>
          <w:tcPr>
            <w:tcW w:w="3784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3246CB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3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8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3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7563E2">
        <w:tc>
          <w:tcPr>
            <w:tcW w:w="3784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5D09F1" w:rsidRPr="002C2527" w:rsidRDefault="003246CB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3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8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3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7563E2">
        <w:tc>
          <w:tcPr>
            <w:tcW w:w="5000" w:type="pct"/>
            <w:gridSpan w:val="8"/>
            <w:shd w:val="clear" w:color="auto" w:fill="A6A6A6"/>
            <w:vAlign w:val="center"/>
          </w:tcPr>
          <w:p w:rsidR="005D09F1" w:rsidRPr="002C2527" w:rsidRDefault="005D09F1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5D09F1" w:rsidRPr="00FE1061" w:rsidTr="007563E2">
        <w:tc>
          <w:tcPr>
            <w:tcW w:w="3784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5D09F1" w:rsidRPr="002C2527" w:rsidRDefault="003246CB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3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8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3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7563E2">
        <w:tc>
          <w:tcPr>
            <w:tcW w:w="3784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5D09F1" w:rsidRPr="002C2527" w:rsidRDefault="003246CB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3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8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3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7563E2">
        <w:tc>
          <w:tcPr>
            <w:tcW w:w="3784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5D09F1" w:rsidRPr="002C2527" w:rsidRDefault="003246CB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3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8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3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7563E2">
        <w:tc>
          <w:tcPr>
            <w:tcW w:w="5000" w:type="pct"/>
            <w:gridSpan w:val="8"/>
            <w:shd w:val="clear" w:color="auto" w:fill="A6A6A6"/>
            <w:vAlign w:val="center"/>
          </w:tcPr>
          <w:p w:rsidR="005D09F1" w:rsidRPr="002C2527" w:rsidRDefault="005D09F1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5D09F1" w:rsidRPr="00FE1061" w:rsidTr="007563E2">
        <w:trPr>
          <w:trHeight w:val="266"/>
        </w:trPr>
        <w:tc>
          <w:tcPr>
            <w:tcW w:w="5000" w:type="pct"/>
            <w:gridSpan w:val="8"/>
            <w:shd w:val="clear" w:color="auto" w:fill="B8CCE4"/>
          </w:tcPr>
          <w:p w:rsidR="005D09F1" w:rsidRPr="002C2527" w:rsidRDefault="005D09F1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5D09F1" w:rsidRPr="00FE1061" w:rsidTr="007563E2">
        <w:tc>
          <w:tcPr>
            <w:tcW w:w="3784" w:type="pct"/>
            <w:gridSpan w:val="2"/>
            <w:shd w:val="clear" w:color="auto" w:fill="B8CCE4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2C2527" w:rsidRDefault="003246CB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3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8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3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7563E2">
        <w:tc>
          <w:tcPr>
            <w:tcW w:w="3784" w:type="pct"/>
            <w:gridSpan w:val="2"/>
            <w:shd w:val="clear" w:color="auto" w:fill="B8CCE4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5D09F1" w:rsidRPr="00FE1061" w:rsidRDefault="005D09F1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2C2527" w:rsidRDefault="003246CB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3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8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3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7563E2">
        <w:tc>
          <w:tcPr>
            <w:tcW w:w="3784" w:type="pct"/>
            <w:gridSpan w:val="2"/>
            <w:shd w:val="clear" w:color="auto" w:fill="B8CCE4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3246CB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3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8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3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7563E2">
        <w:tc>
          <w:tcPr>
            <w:tcW w:w="3784" w:type="pct"/>
            <w:gridSpan w:val="2"/>
            <w:shd w:val="clear" w:color="auto" w:fill="B8CCE4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2401B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3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8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3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7563E2">
        <w:tc>
          <w:tcPr>
            <w:tcW w:w="5000" w:type="pct"/>
            <w:gridSpan w:val="8"/>
            <w:shd w:val="clear" w:color="auto" w:fill="A6A6A6"/>
          </w:tcPr>
          <w:p w:rsidR="005D09F1" w:rsidRPr="002C2527" w:rsidRDefault="005D09F1" w:rsidP="002E40F3">
            <w:pPr>
              <w:jc w:val="center"/>
              <w:rPr>
                <w:b/>
                <w:color w:val="FFFFFF"/>
              </w:rPr>
            </w:pPr>
            <w:bookmarkStart w:id="0" w:name="_GoBack"/>
            <w:bookmarkEnd w:id="0"/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5D09F1" w:rsidRPr="00FE1061" w:rsidTr="007563E2">
        <w:tc>
          <w:tcPr>
            <w:tcW w:w="3784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5D09F1" w:rsidRPr="002C2527" w:rsidRDefault="003246CB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3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8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3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7563E2">
        <w:tc>
          <w:tcPr>
            <w:tcW w:w="3784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FA7CDF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3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8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3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7563E2">
        <w:tc>
          <w:tcPr>
            <w:tcW w:w="3784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5D09F1" w:rsidRPr="002C2527" w:rsidRDefault="003246CB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3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8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3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7563E2">
        <w:tc>
          <w:tcPr>
            <w:tcW w:w="5000" w:type="pct"/>
            <w:gridSpan w:val="8"/>
          </w:tcPr>
          <w:p w:rsidR="005D09F1" w:rsidRDefault="005D09F1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54658B" w:rsidRPr="00FE1061" w:rsidRDefault="003246CB" w:rsidP="00FA7CDF">
            <w:r>
              <w:t xml:space="preserve">Studentka velmi svědomitě postupovala při zpracovávání všech částí bakalářské práce.  Vždy věcně reagovala na zpětnou </w:t>
            </w:r>
            <w:r w:rsidR="00FA7CDF">
              <w:t>od vedoucí práce. Svědomitě volila metodologický postup. Výsledky kvalitativního postupu výzkumu problému učitelské odpovědnosti mají své omezení v možnosti zobecnění, ale jsou cenným doplňkem dosavadních dat z kvantitativního typu výzkumu.</w:t>
            </w:r>
          </w:p>
        </w:tc>
      </w:tr>
      <w:tr w:rsidR="005D09F1" w:rsidRPr="00FE1061" w:rsidTr="007563E2">
        <w:tc>
          <w:tcPr>
            <w:tcW w:w="5000" w:type="pct"/>
            <w:gridSpan w:val="8"/>
          </w:tcPr>
          <w:p w:rsidR="005D09F1" w:rsidRPr="00FE1061" w:rsidRDefault="005D09F1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5D09F1" w:rsidRDefault="0054658B" w:rsidP="0054658B">
            <w:r>
              <w:t>1.</w:t>
            </w:r>
            <w:r w:rsidR="00FD5B92">
              <w:t xml:space="preserve"> Pokuste se pojmenovat, jaké riziko se skrývá ve formulaci učitele S: …“</w:t>
            </w:r>
            <w:r w:rsidR="00FD5B92" w:rsidRPr="00D77484">
              <w:rPr>
                <w:i/>
              </w:rPr>
              <w:t>že je pořád možné pozitivně ovlivnit ještě skoro nezkažený materiál (žáky) k obrazu svému</w:t>
            </w:r>
            <w:r w:rsidR="00FD5B92">
              <w:t>“ (viz například s. 54).</w:t>
            </w:r>
          </w:p>
          <w:p w:rsidR="0054658B" w:rsidRPr="00FE1061" w:rsidRDefault="0054658B" w:rsidP="00A31644">
            <w:r>
              <w:t>2.</w:t>
            </w:r>
            <w:r w:rsidR="00FD5B92">
              <w:t xml:space="preserve"> Vyberte pro komisi ukázky formulací učitelů, které dokládají </w:t>
            </w:r>
            <w:r w:rsidR="003A697A">
              <w:t>tendenci zkoumaných učitelů, že si přisuzují i odpovědnost za žákovské neúspěchy.</w:t>
            </w:r>
          </w:p>
        </w:tc>
      </w:tr>
      <w:tr w:rsidR="005D09F1" w:rsidRPr="00FE1061" w:rsidTr="007563E2">
        <w:tc>
          <w:tcPr>
            <w:tcW w:w="3784" w:type="pct"/>
            <w:gridSpan w:val="2"/>
          </w:tcPr>
          <w:p w:rsidR="005D09F1" w:rsidRPr="00FE1061" w:rsidRDefault="005D09F1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5D09F1" w:rsidRPr="002C2527" w:rsidRDefault="003A697A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3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8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3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7563E2">
        <w:tc>
          <w:tcPr>
            <w:tcW w:w="3784" w:type="pct"/>
            <w:gridSpan w:val="2"/>
            <w:tcBorders>
              <w:bottom w:val="single" w:sz="12" w:space="0" w:color="auto"/>
            </w:tcBorders>
            <w:vAlign w:val="center"/>
          </w:tcPr>
          <w:p w:rsidR="005D09F1" w:rsidRPr="00FE1061" w:rsidRDefault="005D09F1" w:rsidP="00D77484">
            <w:r w:rsidRPr="00FE1061">
              <w:rPr>
                <w:sz w:val="22"/>
                <w:szCs w:val="22"/>
              </w:rPr>
              <w:t>Datum:</w:t>
            </w:r>
            <w:r w:rsidR="003A697A">
              <w:rPr>
                <w:sz w:val="22"/>
                <w:szCs w:val="22"/>
              </w:rPr>
              <w:t xml:space="preserve"> </w:t>
            </w:r>
            <w:r w:rsidR="00D77484">
              <w:rPr>
                <w:sz w:val="22"/>
                <w:szCs w:val="22"/>
              </w:rPr>
              <w:t>16</w:t>
            </w:r>
            <w:r w:rsidR="003A697A">
              <w:rPr>
                <w:sz w:val="22"/>
                <w:szCs w:val="22"/>
              </w:rPr>
              <w:t>. 5. 2017</w:t>
            </w:r>
          </w:p>
        </w:tc>
        <w:tc>
          <w:tcPr>
            <w:tcW w:w="1216" w:type="pct"/>
            <w:gridSpan w:val="6"/>
            <w:tcBorders>
              <w:bottom w:val="single" w:sz="12" w:space="0" w:color="auto"/>
            </w:tcBorders>
            <w:vAlign w:val="center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Podpis:</w:t>
            </w:r>
            <w:r w:rsidR="007563E2">
              <w:rPr>
                <w:sz w:val="22"/>
                <w:szCs w:val="22"/>
              </w:rPr>
              <w:t xml:space="preserve"> </w:t>
            </w:r>
            <w:r w:rsidR="007563E2">
              <w:rPr>
                <w:sz w:val="22"/>
                <w:szCs w:val="22"/>
              </w:rPr>
              <w:t>Prof. PhDr. Hana Lukášová, CSc. v. r.</w:t>
            </w:r>
          </w:p>
        </w:tc>
      </w:tr>
    </w:tbl>
    <w:p w:rsidR="005D09F1" w:rsidRDefault="005D09F1"/>
    <w:sectPr w:rsidR="005D09F1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F83" w:rsidRDefault="00473F83" w:rsidP="001471ED">
      <w:r>
        <w:separator/>
      </w:r>
    </w:p>
  </w:endnote>
  <w:endnote w:type="continuationSeparator" w:id="0">
    <w:p w:rsidR="00473F83" w:rsidRDefault="00473F83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F83" w:rsidRDefault="00473F83" w:rsidP="001471ED">
      <w:r>
        <w:separator/>
      </w:r>
    </w:p>
  </w:footnote>
  <w:footnote w:type="continuationSeparator" w:id="0">
    <w:p w:rsidR="00473F83" w:rsidRDefault="00473F83" w:rsidP="001471ED">
      <w:r>
        <w:continuationSeparator/>
      </w:r>
    </w:p>
  </w:footnote>
  <w:footnote w:id="1">
    <w:p w:rsidR="005D09F1" w:rsidRDefault="005D09F1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</w:t>
      </w:r>
      <w:proofErr w:type="gramStart"/>
      <w:r>
        <w:t>práce.</w:t>
      </w:r>
      <w:r w:rsidR="003A697A"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696380"/>
    <w:multiLevelType w:val="hybridMultilevel"/>
    <w:tmpl w:val="FDECE2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ED"/>
    <w:rsid w:val="0002465C"/>
    <w:rsid w:val="000331BD"/>
    <w:rsid w:val="000E102F"/>
    <w:rsid w:val="00102BCF"/>
    <w:rsid w:val="00125AEA"/>
    <w:rsid w:val="00127E8F"/>
    <w:rsid w:val="001471ED"/>
    <w:rsid w:val="001D33EA"/>
    <w:rsid w:val="0023560B"/>
    <w:rsid w:val="00261F9D"/>
    <w:rsid w:val="002C2527"/>
    <w:rsid w:val="002E40F3"/>
    <w:rsid w:val="00300A05"/>
    <w:rsid w:val="00314133"/>
    <w:rsid w:val="003246CB"/>
    <w:rsid w:val="00377E40"/>
    <w:rsid w:val="00385E1B"/>
    <w:rsid w:val="003A697A"/>
    <w:rsid w:val="003E5FDF"/>
    <w:rsid w:val="00417493"/>
    <w:rsid w:val="00451A41"/>
    <w:rsid w:val="00473F83"/>
    <w:rsid w:val="004A0F0E"/>
    <w:rsid w:val="00501834"/>
    <w:rsid w:val="0052401B"/>
    <w:rsid w:val="0053742C"/>
    <w:rsid w:val="0054658B"/>
    <w:rsid w:val="005A5D39"/>
    <w:rsid w:val="005A7EDB"/>
    <w:rsid w:val="005D09F1"/>
    <w:rsid w:val="00611CC8"/>
    <w:rsid w:val="00630E11"/>
    <w:rsid w:val="006D3086"/>
    <w:rsid w:val="0074336A"/>
    <w:rsid w:val="007563E2"/>
    <w:rsid w:val="0078017F"/>
    <w:rsid w:val="007B4B9C"/>
    <w:rsid w:val="007E5797"/>
    <w:rsid w:val="00816864"/>
    <w:rsid w:val="008D4BFE"/>
    <w:rsid w:val="008D553A"/>
    <w:rsid w:val="008D70D2"/>
    <w:rsid w:val="00974F9A"/>
    <w:rsid w:val="009B20CC"/>
    <w:rsid w:val="009B69DC"/>
    <w:rsid w:val="009E6464"/>
    <w:rsid w:val="00A14391"/>
    <w:rsid w:val="00A31644"/>
    <w:rsid w:val="00A727B8"/>
    <w:rsid w:val="00AA58C0"/>
    <w:rsid w:val="00B21FD8"/>
    <w:rsid w:val="00B5120B"/>
    <w:rsid w:val="00B54482"/>
    <w:rsid w:val="00B94260"/>
    <w:rsid w:val="00D264CB"/>
    <w:rsid w:val="00D268E1"/>
    <w:rsid w:val="00D54AA4"/>
    <w:rsid w:val="00D77484"/>
    <w:rsid w:val="00FA7CDF"/>
    <w:rsid w:val="00FD5B92"/>
    <w:rsid w:val="00FE1061"/>
    <w:rsid w:val="00FE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471ED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471ED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AA5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471ED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471ED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Hewlett-Packard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Lukášová Hana</cp:lastModifiedBy>
  <cp:revision>5</cp:revision>
  <cp:lastPrinted>2017-05-15T12:50:00Z</cp:lastPrinted>
  <dcterms:created xsi:type="dcterms:W3CDTF">2017-05-09T11:42:00Z</dcterms:created>
  <dcterms:modified xsi:type="dcterms:W3CDTF">2017-05-15T12:54:00Z</dcterms:modified>
</cp:coreProperties>
</file>