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826"/>
        <w:gridCol w:w="464"/>
        <w:gridCol w:w="456"/>
        <w:gridCol w:w="456"/>
        <w:gridCol w:w="390"/>
        <w:gridCol w:w="350"/>
        <w:gridCol w:w="334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0A49EE" w:rsidP="00261F9D">
            <w:r>
              <w:t xml:space="preserve">Veronika </w:t>
            </w:r>
            <w:proofErr w:type="spellStart"/>
            <w:r>
              <w:t>Cibulcová</w:t>
            </w:r>
            <w:proofErr w:type="spellEnd"/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531727" w:rsidP="00261F9D">
            <w:r>
              <w:t>Spolupráce vybrané spádové mateřské a základní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>Mgr. Hana Navrátilová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607E80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531727" w:rsidP="00261F9D">
            <w:r>
              <w:t>prezenční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3172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04292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04292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04292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3172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531727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71176" w:rsidRDefault="00531727" w:rsidP="00B71176">
            <w:r>
              <w:t>Autorka si zvolila aktuální téma, které není často výzkumně zpracováno. V teoretické části se pak odráží určitá nejistota autorky, jak vlastně teorii k tématu uchopit, celkově jde spíše o soupis různých informací, bez hlubšího záběru, není jasně vysvětleno, jaká jsou specifika spádových škol. Kapitola 1.3 postrádá význam, protože autorka ji nevztahuje k tématu práce.</w:t>
            </w:r>
          </w:p>
          <w:p w:rsidR="00531727" w:rsidRPr="005972FC" w:rsidRDefault="00531727" w:rsidP="00B71176">
            <w:r>
              <w:t>Autorka neuvádí v empirické části práce, že se jedná o případovou studii spolupráce mezi vybranými dvěma institucemi, ch</w:t>
            </w:r>
            <w:r w:rsidR="00133317">
              <w:t>ybí také širší popis institucí, který by jasně osvětlil, o jaký případ se jedná. Významové kategorie jsou předvídatelné</w:t>
            </w:r>
            <w:r w:rsidR="008C03B5">
              <w:t xml:space="preserve"> a neukazují na výsledná specifika dané spolupráce</w:t>
            </w:r>
            <w:r w:rsidR="00133317">
              <w:t>, ale práce jinak přináší mnoho zajímavých výpovědí učitelek, které ukazují na nedostatky či nevyužité možnosti spolupráce. Práce by vyžadovala preciznější interpretaci zjištěného</w:t>
            </w:r>
            <w:r w:rsidR="008C03B5">
              <w:t xml:space="preserve">, zvláště tam, kde zachycuje rozpory ve výpovědích participantů. </w:t>
            </w: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4E3827" w:rsidRDefault="00A76771" w:rsidP="00607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B71176">
              <w:rPr>
                <w:sz w:val="22"/>
                <w:szCs w:val="22"/>
              </w:rPr>
              <w:t xml:space="preserve"> </w:t>
            </w:r>
            <w:r w:rsidR="00133317">
              <w:rPr>
                <w:sz w:val="22"/>
                <w:szCs w:val="22"/>
              </w:rPr>
              <w:t>Přispívá spolupráce mezi zkoumanými institucemi k lepší školní připravenosti dětí?</w:t>
            </w:r>
          </w:p>
          <w:p w:rsidR="00133317" w:rsidRDefault="00133317" w:rsidP="00607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Na základě jakých informací uvádíte, že je ve Zlínském kraji málo spádových škol?</w:t>
            </w:r>
          </w:p>
          <w:p w:rsidR="00133317" w:rsidRPr="00AF72E5" w:rsidRDefault="00133317" w:rsidP="00607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Nacházíte v získaných datech také možná negativa užší spolupráce?</w:t>
            </w:r>
          </w:p>
          <w:p w:rsidR="00002BCA" w:rsidRPr="00A76771" w:rsidRDefault="00531727" w:rsidP="00531727">
            <w:pPr>
              <w:tabs>
                <w:tab w:val="left" w:pos="1440"/>
              </w:tabs>
            </w:pPr>
            <w:r>
              <w:tab/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0B3687" w:rsidRDefault="000B3687" w:rsidP="00261F9D">
            <w:pPr>
              <w:jc w:val="center"/>
              <w:rPr>
                <w:b/>
              </w:rPr>
            </w:pPr>
            <w:r w:rsidRPr="000B3687">
              <w:rPr>
                <w:b/>
              </w:rPr>
              <w:t>C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0CB" w:rsidRDefault="00EE50CB" w:rsidP="00002BCA">
      <w:r>
        <w:separator/>
      </w:r>
    </w:p>
  </w:endnote>
  <w:endnote w:type="continuationSeparator" w:id="0">
    <w:p w:rsidR="00EE50CB" w:rsidRDefault="00EE50C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0CB" w:rsidRDefault="00EE50CB" w:rsidP="00002BCA">
      <w:r>
        <w:separator/>
      </w:r>
    </w:p>
  </w:footnote>
  <w:footnote w:type="continuationSeparator" w:id="0">
    <w:p w:rsidR="00EE50CB" w:rsidRDefault="00EE50C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A49EE"/>
    <w:rsid w:val="000B3687"/>
    <w:rsid w:val="000F3059"/>
    <w:rsid w:val="00133317"/>
    <w:rsid w:val="001422CD"/>
    <w:rsid w:val="00143532"/>
    <w:rsid w:val="00184EC8"/>
    <w:rsid w:val="002564CB"/>
    <w:rsid w:val="00285F37"/>
    <w:rsid w:val="002B06AC"/>
    <w:rsid w:val="002B0BAD"/>
    <w:rsid w:val="002B1FAF"/>
    <w:rsid w:val="002B4EF2"/>
    <w:rsid w:val="003A52A2"/>
    <w:rsid w:val="00465362"/>
    <w:rsid w:val="00471798"/>
    <w:rsid w:val="004E3827"/>
    <w:rsid w:val="00503D77"/>
    <w:rsid w:val="00505441"/>
    <w:rsid w:val="00531727"/>
    <w:rsid w:val="00535B93"/>
    <w:rsid w:val="00565ECE"/>
    <w:rsid w:val="005972FC"/>
    <w:rsid w:val="00607E80"/>
    <w:rsid w:val="00653CB2"/>
    <w:rsid w:val="007D6923"/>
    <w:rsid w:val="00873B38"/>
    <w:rsid w:val="008C03B5"/>
    <w:rsid w:val="009017E0"/>
    <w:rsid w:val="00910789"/>
    <w:rsid w:val="00A72CED"/>
    <w:rsid w:val="00A76771"/>
    <w:rsid w:val="00AF72E5"/>
    <w:rsid w:val="00B44F2E"/>
    <w:rsid w:val="00B71176"/>
    <w:rsid w:val="00B94260"/>
    <w:rsid w:val="00BA7D35"/>
    <w:rsid w:val="00BF4D55"/>
    <w:rsid w:val="00C475E3"/>
    <w:rsid w:val="00C90F34"/>
    <w:rsid w:val="00D42EA3"/>
    <w:rsid w:val="00DA11E6"/>
    <w:rsid w:val="00E04292"/>
    <w:rsid w:val="00E05B1A"/>
    <w:rsid w:val="00E2260F"/>
    <w:rsid w:val="00E75976"/>
    <w:rsid w:val="00E94609"/>
    <w:rsid w:val="00EE50CB"/>
    <w:rsid w:val="00EF009A"/>
    <w:rsid w:val="00F121C0"/>
    <w:rsid w:val="00F319B8"/>
    <w:rsid w:val="00F96216"/>
    <w:rsid w:val="00F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DED08-4F9F-4BCF-84AF-A7513BCB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D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5</cp:revision>
  <cp:lastPrinted>2017-05-23T07:46:00Z</cp:lastPrinted>
  <dcterms:created xsi:type="dcterms:W3CDTF">2017-05-23T07:53:00Z</dcterms:created>
  <dcterms:modified xsi:type="dcterms:W3CDTF">2017-05-23T08:17:00Z</dcterms:modified>
</cp:coreProperties>
</file>