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bookmarkStart w:id="0" w:name="_GoBack"/>
      <w:bookmarkEnd w:id="0"/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BE774E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's"/>
              <w:listEntry w:val="Supervisor's"/>
            </w:ddList>
          </w:ffData>
        </w:fldChar>
      </w:r>
      <w:bookmarkStart w:id="1" w:name="Rozevírací1"/>
      <w:r>
        <w:instrText xml:space="preserve"> FORMDROPDOWN </w:instrText>
      </w:r>
      <w:r w:rsidR="003409C5">
        <w:fldChar w:fldCharType="separate"/>
      </w:r>
      <w:r>
        <w:fldChar w:fldCharType="end"/>
      </w:r>
      <w:bookmarkEnd w:id="1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9144DA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BE774E" w:rsidRPr="00BE774E">
        <w:rPr>
          <w:b/>
          <w:i/>
          <w:sz w:val="22"/>
          <w:szCs w:val="22"/>
          <w:lang w:val="en-GB"/>
        </w:rPr>
        <w:t xml:space="preserve">Masters </w:t>
      </w:r>
      <w:proofErr w:type="spellStart"/>
      <w:r w:rsidR="00BE774E" w:rsidRPr="00BE774E">
        <w:rPr>
          <w:b/>
          <w:i/>
          <w:sz w:val="22"/>
          <w:szCs w:val="22"/>
          <w:lang w:val="en-GB"/>
        </w:rPr>
        <w:t>Ulugbek</w:t>
      </w:r>
      <w:proofErr w:type="spellEnd"/>
      <w:r w:rsidR="00BE774E" w:rsidRPr="00BE774E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BE774E" w:rsidRPr="00BE774E">
        <w:rPr>
          <w:b/>
          <w:i/>
          <w:sz w:val="22"/>
          <w:szCs w:val="22"/>
          <w:lang w:val="en-GB"/>
        </w:rPr>
        <w:t>Zokirov</w:t>
      </w:r>
      <w:proofErr w:type="spellEnd"/>
      <w:r>
        <w:rPr>
          <w:lang w:val="en-GB"/>
        </w:rPr>
        <w:t xml:space="preserve">                             </w:t>
      </w:r>
      <w:proofErr w:type="gramStart"/>
      <w:r w:rsidR="00693082">
        <w:rPr>
          <w:lang w:val="en-GB"/>
        </w:rPr>
        <w:t xml:space="preserve">MT </w:t>
      </w:r>
      <w:r w:rsidR="00BE774E">
        <w:fldChar w:fldCharType="begin">
          <w:ffData>
            <w:name w:val=""/>
            <w:enabled/>
            <w:calcOnExit w:val="0"/>
            <w:ddList>
              <w:listEntry w:val="Reviewer"/>
              <w:listEntry w:val="Supervisor"/>
            </w:ddList>
          </w:ffData>
        </w:fldChar>
      </w:r>
      <w:r w:rsidR="00BE774E">
        <w:instrText xml:space="preserve"> FORMDROPDOWN </w:instrText>
      </w:r>
      <w:r w:rsidR="003409C5">
        <w:fldChar w:fldCharType="separate"/>
      </w:r>
      <w:r w:rsidR="00BE774E">
        <w:fldChar w:fldCharType="end"/>
      </w:r>
      <w:r w:rsidR="00845B98" w:rsidRPr="00DF46B0">
        <w:rPr>
          <w:lang w:val="en-GB"/>
        </w:rPr>
        <w:t>:</w:t>
      </w:r>
      <w:r w:rsidR="00BE774E">
        <w:rPr>
          <w:b/>
          <w:i/>
          <w:sz w:val="22"/>
          <w:szCs w:val="22"/>
          <w:lang w:val="en-GB"/>
        </w:rPr>
        <w:t>Ing</w:t>
      </w:r>
      <w:proofErr w:type="gramEnd"/>
      <w:r w:rsidR="00BE774E">
        <w:rPr>
          <w:b/>
          <w:i/>
          <w:sz w:val="22"/>
          <w:szCs w:val="22"/>
          <w:lang w:val="en-GB"/>
        </w:rPr>
        <w:t xml:space="preserve">. Jana </w:t>
      </w:r>
      <w:proofErr w:type="spellStart"/>
      <w:r w:rsidR="00BE774E">
        <w:rPr>
          <w:b/>
          <w:i/>
          <w:sz w:val="22"/>
          <w:szCs w:val="22"/>
          <w:lang w:val="en-GB"/>
        </w:rPr>
        <w:t>Vychytilová</w:t>
      </w:r>
      <w:proofErr w:type="spellEnd"/>
      <w:r w:rsidR="00BE774E">
        <w:rPr>
          <w:b/>
          <w:i/>
          <w:sz w:val="22"/>
          <w:szCs w:val="22"/>
          <w:lang w:val="en-GB"/>
        </w:rPr>
        <w:t>, Ph.D</w:t>
      </w:r>
      <w:r w:rsidRPr="00DF46B0">
        <w:rPr>
          <w:lang w:val="en-GB"/>
        </w:rPr>
        <w:tab/>
      </w: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BE774E">
        <w:rPr>
          <w:b/>
          <w:i/>
          <w:sz w:val="22"/>
          <w:szCs w:val="22"/>
          <w:lang w:val="en-GB"/>
        </w:rPr>
        <w:t>2015/2016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BE774E" w:rsidRPr="00BE774E" w:rsidRDefault="00693082" w:rsidP="00BE774E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BE774E" w:rsidRPr="00BE774E">
        <w:rPr>
          <w:b/>
          <w:i/>
          <w:sz w:val="22"/>
          <w:szCs w:val="22"/>
          <w:lang w:val="en-GB"/>
        </w:rPr>
        <w:t>Hedging as a tool of risk management in corporate finance: testing of traditional</w:t>
      </w:r>
    </w:p>
    <w:p w:rsidR="00845B98" w:rsidRPr="00BE774E" w:rsidRDefault="00BE774E" w:rsidP="00BE774E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  <w:lang w:val="en-GB"/>
        </w:rPr>
      </w:pPr>
      <w:r w:rsidRPr="00BE774E">
        <w:rPr>
          <w:b/>
          <w:i/>
          <w:sz w:val="22"/>
          <w:szCs w:val="22"/>
          <w:lang w:val="en-GB"/>
        </w:rPr>
        <w:t>and non-traditional hedging techniques in the example of selected markets</w:t>
      </w:r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0614ED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5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bookmarkStart w:id="2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b/>
                <w:snapToGrid w:val="0"/>
                <w:color w:val="000000"/>
                <w:lang w:val="en-GB"/>
              </w:rPr>
            </w:r>
            <w:r w:rsidR="003409C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D84AB5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614E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3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3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0614ED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b/>
                <w:snapToGrid w:val="0"/>
                <w:color w:val="000000"/>
                <w:lang w:val="en-GB"/>
              </w:rPr>
            </w:r>
            <w:r w:rsidR="003409C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614E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E70A65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2"/>
                    <w:listEntry w:val="0"/>
                    <w:listEntry w:val="1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b/>
                <w:snapToGrid w:val="0"/>
                <w:color w:val="000000"/>
                <w:lang w:val="en-GB"/>
              </w:rPr>
            </w:r>
            <w:r w:rsidR="003409C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614E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0614E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b/>
                <w:snapToGrid w:val="0"/>
                <w:color w:val="000000"/>
                <w:lang w:val="en-GB"/>
              </w:rPr>
            </w:r>
            <w:r w:rsidR="003409C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0614E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614E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ne"/>
                    <w:listEntry w:val="          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0614E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b/>
                <w:snapToGrid w:val="0"/>
                <w:color w:val="000000"/>
                <w:lang w:val="en-GB"/>
              </w:rPr>
            </w:r>
            <w:r w:rsidR="003409C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0614ED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lang w:val="en-GB"/>
              </w:rPr>
            </w:r>
            <w:r w:rsidR="003409C5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614E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D84AB5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b/>
                <w:snapToGrid w:val="0"/>
                <w:color w:val="000000"/>
                <w:lang w:val="en-GB"/>
              </w:rPr>
            </w:r>
            <w:r w:rsidR="003409C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0614E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D84AB5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D84AB5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D84AB5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409C5">
              <w:rPr>
                <w:snapToGrid w:val="0"/>
                <w:color w:val="000000"/>
                <w:lang w:val="en-GB"/>
              </w:rPr>
            </w:r>
            <w:r w:rsidR="003409C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E70A65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21</w:t>
            </w:r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021C86" w:rsidRPr="006459AC" w:rsidRDefault="009144DA" w:rsidP="009144DA">
      <w:pPr>
        <w:rPr>
          <w:i/>
          <w:lang w:val="en-GB"/>
        </w:rPr>
      </w:pPr>
      <w:r w:rsidRPr="006459AC">
        <w:rPr>
          <w:i/>
          <w:lang w:val="en-GB"/>
        </w:rPr>
        <w:t>This Master’s thesis is written on 74 pages and focuses on nowadays highly important financial issue, i.e., hedging in relation to corporate risk-management. The author defined fi</w:t>
      </w:r>
      <w:r w:rsidR="0038254C" w:rsidRPr="006459AC">
        <w:rPr>
          <w:i/>
          <w:lang w:val="en-GB"/>
        </w:rPr>
        <w:t>v</w:t>
      </w:r>
      <w:r w:rsidRPr="006459AC">
        <w:rPr>
          <w:i/>
          <w:lang w:val="en-GB"/>
        </w:rPr>
        <w:t>e main objectives</w:t>
      </w:r>
      <w:r w:rsidR="00277B67" w:rsidRPr="006459AC">
        <w:rPr>
          <w:i/>
          <w:lang w:val="en-GB"/>
        </w:rPr>
        <w:t xml:space="preserve">, inter alia, </w:t>
      </w:r>
      <w:r w:rsidR="006459AC">
        <w:rPr>
          <w:i/>
          <w:lang w:val="en-GB"/>
        </w:rPr>
        <w:t>to prepare</w:t>
      </w:r>
      <w:r w:rsidR="00277B67" w:rsidRPr="006459AC">
        <w:rPr>
          <w:i/>
          <w:lang w:val="en-GB"/>
        </w:rPr>
        <w:t xml:space="preserve"> the project of investment hedging with non-traditional methods in the selected markets. This Master´s </w:t>
      </w:r>
      <w:r w:rsidR="006459AC">
        <w:rPr>
          <w:i/>
          <w:lang w:val="en-GB"/>
        </w:rPr>
        <w:t xml:space="preserve">thus </w:t>
      </w:r>
      <w:r w:rsidR="00277B67" w:rsidRPr="006459AC">
        <w:rPr>
          <w:i/>
          <w:lang w:val="en-GB"/>
        </w:rPr>
        <w:t xml:space="preserve">shed some light whether </w:t>
      </w:r>
      <w:r w:rsidR="00E10973" w:rsidRPr="006459AC">
        <w:rPr>
          <w:i/>
          <w:lang w:val="en-GB"/>
        </w:rPr>
        <w:t xml:space="preserve">the Dragon King Method is usable </w:t>
      </w:r>
      <w:r w:rsidR="00476911" w:rsidRPr="006459AC">
        <w:rPr>
          <w:i/>
          <w:lang w:val="en-GB"/>
        </w:rPr>
        <w:t xml:space="preserve">technique </w:t>
      </w:r>
      <w:r w:rsidR="00E10973" w:rsidRPr="006459AC">
        <w:rPr>
          <w:i/>
          <w:lang w:val="en-GB"/>
        </w:rPr>
        <w:t>to predict the movement of oil prices, moreover, the author of this thesis compare</w:t>
      </w:r>
      <w:r w:rsidR="00106973" w:rsidRPr="006459AC">
        <w:rPr>
          <w:i/>
          <w:lang w:val="en-GB"/>
        </w:rPr>
        <w:t>d</w:t>
      </w:r>
      <w:r w:rsidR="006459AC">
        <w:rPr>
          <w:i/>
          <w:lang w:val="en-GB"/>
        </w:rPr>
        <w:t xml:space="preserve"> his results to those of</w:t>
      </w:r>
      <w:r w:rsidR="00E10973" w:rsidRPr="006459AC">
        <w:rPr>
          <w:i/>
          <w:lang w:val="en-GB"/>
        </w:rPr>
        <w:t xml:space="preserve"> </w:t>
      </w:r>
      <w:proofErr w:type="spellStart"/>
      <w:r w:rsidR="00E10973" w:rsidRPr="006459AC">
        <w:rPr>
          <w:i/>
          <w:lang w:val="en-GB"/>
        </w:rPr>
        <w:t>inventor</w:t>
      </w:r>
      <w:r w:rsidR="00106973" w:rsidRPr="006459AC">
        <w:rPr>
          <w:i/>
          <w:lang w:val="en-GB"/>
        </w:rPr>
        <w:t>´s</w:t>
      </w:r>
      <w:proofErr w:type="spellEnd"/>
      <w:r w:rsidR="00E10973" w:rsidRPr="006459AC">
        <w:rPr>
          <w:i/>
          <w:lang w:val="en-GB"/>
        </w:rPr>
        <w:t xml:space="preserve"> of the Dragon King technique and declared a similarity between them – implying the usability in the hedging decision-making.</w:t>
      </w:r>
      <w:r w:rsidR="00B10073" w:rsidRPr="006459AC">
        <w:rPr>
          <w:i/>
          <w:lang w:val="en-GB"/>
        </w:rPr>
        <w:t xml:space="preserve"> The theoretical background consists of </w:t>
      </w:r>
      <w:r w:rsidR="00476911" w:rsidRPr="006459AC">
        <w:rPr>
          <w:i/>
          <w:lang w:val="en-GB"/>
        </w:rPr>
        <w:t xml:space="preserve">a </w:t>
      </w:r>
      <w:r w:rsidR="00B10073" w:rsidRPr="006459AC">
        <w:rPr>
          <w:i/>
          <w:lang w:val="en-GB"/>
        </w:rPr>
        <w:t xml:space="preserve">strong literature sources support, using also up-to-date and relevant literature, as well as scientific articles written by reputable authors. However, some of them have not been cited in the text </w:t>
      </w:r>
      <w:r w:rsidR="006459AC">
        <w:rPr>
          <w:i/>
          <w:sz w:val="22"/>
          <w:lang w:val="en-GB"/>
        </w:rPr>
        <w:t>and o</w:t>
      </w:r>
      <w:r w:rsidR="00E81EAB" w:rsidRPr="006459AC">
        <w:rPr>
          <w:i/>
          <w:lang w:val="en-GB"/>
        </w:rPr>
        <w:t>n the other hand</w:t>
      </w:r>
      <w:r w:rsidR="00AD4CE4" w:rsidRPr="006459AC">
        <w:rPr>
          <w:i/>
          <w:lang w:val="en-GB"/>
        </w:rPr>
        <w:t>,</w:t>
      </w:r>
      <w:r w:rsidR="00E81EAB" w:rsidRPr="006459AC">
        <w:rPr>
          <w:i/>
          <w:lang w:val="en-GB"/>
        </w:rPr>
        <w:t xml:space="preserve"> some sources cited in the text, where not inserted in the list of references. </w:t>
      </w:r>
      <w:r w:rsidR="00021C86" w:rsidRPr="006459AC">
        <w:rPr>
          <w:i/>
          <w:lang w:val="en-GB"/>
        </w:rPr>
        <w:t xml:space="preserve">Dragon King </w:t>
      </w:r>
      <w:proofErr w:type="gramStart"/>
      <w:r w:rsidR="00021C86" w:rsidRPr="006459AC">
        <w:rPr>
          <w:i/>
          <w:lang w:val="en-GB"/>
        </w:rPr>
        <w:t>technique</w:t>
      </w:r>
      <w:proofErr w:type="gramEnd"/>
      <w:r w:rsidR="00021C86" w:rsidRPr="006459AC">
        <w:rPr>
          <w:i/>
          <w:lang w:val="en-GB"/>
        </w:rPr>
        <w:t xml:space="preserve"> have not been described in the theoretical part. </w:t>
      </w:r>
      <w:r w:rsidR="00B10073" w:rsidRPr="006459AC">
        <w:rPr>
          <w:i/>
          <w:lang w:val="en-GB"/>
        </w:rPr>
        <w:t>According to formal layout, the language level meets the requirements of Master´s thesis.</w:t>
      </w:r>
      <w:r w:rsidR="00E81EAB" w:rsidRPr="006459AC">
        <w:rPr>
          <w:i/>
          <w:lang w:val="en-GB"/>
        </w:rPr>
        <w:t xml:space="preserve"> </w:t>
      </w:r>
      <w:r w:rsidR="00476911" w:rsidRPr="006459AC">
        <w:rPr>
          <w:i/>
          <w:lang w:val="en-GB"/>
        </w:rPr>
        <w:t>Objectives and goals written on p. 8 differed to those written in Master´s thesis assignment and coul</w:t>
      </w:r>
      <w:r w:rsidR="006459AC">
        <w:rPr>
          <w:i/>
          <w:lang w:val="en-GB"/>
        </w:rPr>
        <w:t>d have been described similarly.</w:t>
      </w:r>
      <w:r w:rsidR="00476911" w:rsidRPr="006459AC">
        <w:rPr>
          <w:i/>
          <w:lang w:val="en-GB"/>
        </w:rPr>
        <w:t xml:space="preserve"> In general, a</w:t>
      </w:r>
      <w:r w:rsidR="00E81EAB" w:rsidRPr="006459AC">
        <w:rPr>
          <w:i/>
          <w:lang w:val="en-GB"/>
        </w:rPr>
        <w:t xml:space="preserve">ims have been fulfilled, however </w:t>
      </w:r>
      <w:r w:rsidR="00476911" w:rsidRPr="006459AC">
        <w:rPr>
          <w:i/>
          <w:lang w:val="en-GB"/>
        </w:rPr>
        <w:t xml:space="preserve">more explanation would strengthen the thesis. </w:t>
      </w:r>
      <w:r w:rsidR="00021C86" w:rsidRPr="006459AC">
        <w:rPr>
          <w:i/>
          <w:lang w:val="en-GB"/>
        </w:rPr>
        <w:t>Main findings 1-14 in conclusion are mainly general</w:t>
      </w:r>
      <w:r w:rsidR="00AD4CE4" w:rsidRPr="006459AC">
        <w:rPr>
          <w:i/>
          <w:lang w:val="en-GB"/>
        </w:rPr>
        <w:t>l</w:t>
      </w:r>
      <w:r w:rsidR="00021C86" w:rsidRPr="006459AC">
        <w:rPr>
          <w:i/>
          <w:lang w:val="en-GB"/>
        </w:rPr>
        <w:t>y already known and were predictable</w:t>
      </w:r>
      <w:r w:rsidR="00476911" w:rsidRPr="006459AC">
        <w:rPr>
          <w:i/>
          <w:lang w:val="en-GB"/>
        </w:rPr>
        <w:t>,</w:t>
      </w:r>
      <w:r w:rsidR="006459AC">
        <w:rPr>
          <w:i/>
          <w:lang w:val="en-GB"/>
        </w:rPr>
        <w:t xml:space="preserve"> but</w:t>
      </w:r>
      <w:r w:rsidR="00476911" w:rsidRPr="006459AC">
        <w:rPr>
          <w:i/>
          <w:lang w:val="en-GB"/>
        </w:rPr>
        <w:t xml:space="preserve"> other</w:t>
      </w:r>
      <w:r w:rsidR="006459AC">
        <w:rPr>
          <w:i/>
          <w:lang w:val="en-GB"/>
        </w:rPr>
        <w:t>s</w:t>
      </w:r>
      <w:r w:rsidR="00476911" w:rsidRPr="006459AC">
        <w:rPr>
          <w:i/>
          <w:lang w:val="en-GB"/>
        </w:rPr>
        <w:t xml:space="preserve"> brings </w:t>
      </w:r>
      <w:r w:rsidR="006459AC">
        <w:rPr>
          <w:i/>
          <w:lang w:val="en-GB"/>
        </w:rPr>
        <w:t xml:space="preserve">a </w:t>
      </w:r>
      <w:r w:rsidR="007E7FB5">
        <w:rPr>
          <w:i/>
          <w:lang w:val="en-GB"/>
        </w:rPr>
        <w:t xml:space="preserve">real </w:t>
      </w:r>
      <w:r w:rsidR="006459AC">
        <w:rPr>
          <w:i/>
          <w:lang w:val="en-GB"/>
        </w:rPr>
        <w:t xml:space="preserve">new </w:t>
      </w:r>
      <w:r w:rsidR="00476911" w:rsidRPr="006459AC">
        <w:rPr>
          <w:i/>
          <w:lang w:val="en-GB"/>
        </w:rPr>
        <w:t>value added</w:t>
      </w:r>
      <w:r w:rsidR="00021C86" w:rsidRPr="006459AC">
        <w:rPr>
          <w:i/>
          <w:lang w:val="en-GB"/>
        </w:rPr>
        <w:t>. Final</w:t>
      </w:r>
      <w:r w:rsidR="00AD4CE4" w:rsidRPr="006459AC">
        <w:rPr>
          <w:i/>
          <w:lang w:val="en-GB"/>
        </w:rPr>
        <w:t>l</w:t>
      </w:r>
      <w:r w:rsidR="00021C86" w:rsidRPr="006459AC">
        <w:rPr>
          <w:i/>
          <w:lang w:val="en-GB"/>
        </w:rPr>
        <w:t>y, this Master´s thesis offers interesting results and information</w:t>
      </w:r>
      <w:r w:rsidR="00476911" w:rsidRPr="006459AC">
        <w:rPr>
          <w:i/>
          <w:lang w:val="en-GB"/>
        </w:rPr>
        <w:t xml:space="preserve">, proposes a </w:t>
      </w:r>
      <w:r w:rsidR="00021C86" w:rsidRPr="006459AC">
        <w:rPr>
          <w:i/>
          <w:lang w:val="en-GB"/>
        </w:rPr>
        <w:t>n</w:t>
      </w:r>
      <w:r w:rsidR="000614ED" w:rsidRPr="006459AC">
        <w:rPr>
          <w:i/>
          <w:lang w:val="en-GB"/>
        </w:rPr>
        <w:t>e</w:t>
      </w:r>
      <w:r w:rsidR="00476911" w:rsidRPr="006459AC">
        <w:rPr>
          <w:i/>
          <w:lang w:val="en-GB"/>
        </w:rPr>
        <w:t>w</w:t>
      </w:r>
      <w:r w:rsidR="00021C86" w:rsidRPr="006459AC">
        <w:rPr>
          <w:i/>
          <w:lang w:val="en-GB"/>
        </w:rPr>
        <w:t xml:space="preserve"> model </w:t>
      </w:r>
      <w:r w:rsidR="006459AC">
        <w:rPr>
          <w:i/>
          <w:lang w:val="en-GB"/>
        </w:rPr>
        <w:t>usable</w:t>
      </w:r>
      <w:r w:rsidR="00021C86" w:rsidRPr="006459AC">
        <w:rPr>
          <w:i/>
          <w:lang w:val="en-GB"/>
        </w:rPr>
        <w:t xml:space="preserve"> for further development in hedging </w:t>
      </w:r>
      <w:r w:rsidR="006459AC">
        <w:rPr>
          <w:i/>
          <w:lang w:val="en-GB"/>
        </w:rPr>
        <w:t>or</w:t>
      </w:r>
      <w:r w:rsidR="007E7FB5">
        <w:rPr>
          <w:i/>
          <w:lang w:val="en-GB"/>
        </w:rPr>
        <w:t xml:space="preserve"> usable for the</w:t>
      </w:r>
      <w:r w:rsidR="006459AC">
        <w:rPr>
          <w:i/>
          <w:lang w:val="en-GB"/>
        </w:rPr>
        <w:t xml:space="preserve"> further research</w:t>
      </w:r>
      <w:r w:rsidR="00021C86" w:rsidRPr="006459AC">
        <w:rPr>
          <w:i/>
          <w:lang w:val="en-GB"/>
        </w:rPr>
        <w:t>, while</w:t>
      </w:r>
      <w:r w:rsidR="000614ED" w:rsidRPr="006459AC">
        <w:rPr>
          <w:i/>
          <w:lang w:val="en-GB"/>
        </w:rPr>
        <w:t xml:space="preserve"> results were supported by sta</w:t>
      </w:r>
      <w:r w:rsidR="00021C86" w:rsidRPr="006459AC">
        <w:rPr>
          <w:i/>
          <w:lang w:val="en-GB"/>
        </w:rPr>
        <w:t>tistical estimations</w:t>
      </w:r>
      <w:r w:rsidR="007E7FB5">
        <w:rPr>
          <w:i/>
          <w:lang w:val="en-GB"/>
        </w:rPr>
        <w:t xml:space="preserve"> and </w:t>
      </w:r>
      <w:r w:rsidR="003903C9">
        <w:rPr>
          <w:i/>
          <w:lang w:val="en-GB"/>
        </w:rPr>
        <w:t xml:space="preserve">were </w:t>
      </w:r>
      <w:r w:rsidR="007E7FB5">
        <w:rPr>
          <w:i/>
          <w:lang w:val="en-GB"/>
        </w:rPr>
        <w:t xml:space="preserve">in accordance with </w:t>
      </w:r>
      <w:r w:rsidR="003903C9">
        <w:rPr>
          <w:i/>
          <w:lang w:val="en-GB"/>
        </w:rPr>
        <w:t xml:space="preserve">previously </w:t>
      </w:r>
      <w:proofErr w:type="spellStart"/>
      <w:r w:rsidR="003903C9">
        <w:rPr>
          <w:i/>
          <w:lang w:val="en-GB"/>
        </w:rPr>
        <w:t>inventor´s</w:t>
      </w:r>
      <w:proofErr w:type="spellEnd"/>
      <w:r w:rsidR="003903C9">
        <w:rPr>
          <w:i/>
          <w:lang w:val="en-GB"/>
        </w:rPr>
        <w:t xml:space="preserve"> of Dragon-Kings technique</w:t>
      </w:r>
      <w:r w:rsidR="00021C86" w:rsidRPr="006459AC">
        <w:rPr>
          <w:i/>
          <w:lang w:val="en-GB"/>
        </w:rPr>
        <w:t xml:space="preserve">. </w:t>
      </w:r>
      <w:r w:rsidR="006459AC">
        <w:rPr>
          <w:i/>
          <w:lang w:val="en-GB"/>
        </w:rPr>
        <w:t>According to previous assessment</w:t>
      </w:r>
      <w:r w:rsidR="000614ED" w:rsidRPr="006459AC">
        <w:rPr>
          <w:i/>
          <w:lang w:val="en-GB"/>
        </w:rPr>
        <w:t xml:space="preserve"> I recommend this well-written MT for defence.</w:t>
      </w:r>
    </w:p>
    <w:p w:rsidR="00E81EAB" w:rsidRPr="006459AC" w:rsidRDefault="00E81EAB" w:rsidP="009144DA">
      <w:pPr>
        <w:rPr>
          <w:i/>
          <w:lang w:val="en-GB"/>
        </w:rPr>
      </w:pPr>
    </w:p>
    <w:p w:rsidR="00E81EAB" w:rsidRPr="006459AC" w:rsidRDefault="00E81EAB" w:rsidP="009144DA">
      <w:pPr>
        <w:rPr>
          <w:i/>
          <w:lang w:val="en-GB"/>
        </w:rPr>
      </w:pPr>
      <w:r w:rsidRPr="006459AC">
        <w:rPr>
          <w:i/>
          <w:lang w:val="en-GB"/>
        </w:rPr>
        <w:t xml:space="preserve">Question: </w:t>
      </w:r>
      <w:r w:rsidR="00106973" w:rsidRPr="006459AC">
        <w:rPr>
          <w:i/>
          <w:lang w:val="en-GB"/>
        </w:rPr>
        <w:t xml:space="preserve">While the theory of the so called Dragon-Kings basically states that financial distresses and extreme events are predictable, what would you highlight/recommend to focus on while using </w:t>
      </w:r>
      <w:r w:rsidR="00D412FA" w:rsidRPr="006459AC">
        <w:rPr>
          <w:i/>
          <w:lang w:val="en-GB"/>
        </w:rPr>
        <w:t>this</w:t>
      </w:r>
      <w:r w:rsidR="00106973" w:rsidRPr="006459AC">
        <w:rPr>
          <w:i/>
          <w:lang w:val="en-GB"/>
        </w:rPr>
        <w:t xml:space="preserve"> technique to the decision maker?</w:t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9928FA">
        <w:t xml:space="preserve">         </w:t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lastRenderedPageBreak/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3409C5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0B2C84">
        <w:rPr>
          <w:i/>
          <w:lang w:val="en-GB"/>
        </w:rPr>
        <w:t>4.5.2016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BE774E">
        <w:fldChar w:fldCharType="begin">
          <w:ffData>
            <w:name w:val="Rozevírací4"/>
            <w:enabled/>
            <w:calcOnExit w:val="0"/>
            <w:ddList>
              <w:listEntry w:val="reviewer"/>
              <w:listEntry w:val="supervisor"/>
            </w:ddList>
          </w:ffData>
        </w:fldChar>
      </w:r>
      <w:bookmarkStart w:id="4" w:name="Rozevírací4"/>
      <w:r w:rsidR="00BE774E">
        <w:instrText xml:space="preserve"> FORMDROPDOWN </w:instrText>
      </w:r>
      <w:r w:rsidR="003409C5">
        <w:fldChar w:fldCharType="separate"/>
      </w:r>
      <w:r w:rsidR="00BE774E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9C5" w:rsidRDefault="003409C5">
      <w:r>
        <w:separator/>
      </w:r>
    </w:p>
  </w:endnote>
  <w:endnote w:type="continuationSeparator" w:id="0">
    <w:p w:rsidR="003409C5" w:rsidRDefault="0034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9C5" w:rsidRDefault="003409C5">
      <w:r>
        <w:separator/>
      </w:r>
    </w:p>
  </w:footnote>
  <w:footnote w:type="continuationSeparator" w:id="0">
    <w:p w:rsidR="003409C5" w:rsidRDefault="003409C5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21C86"/>
    <w:rsid w:val="000573AC"/>
    <w:rsid w:val="000614ED"/>
    <w:rsid w:val="00062CEC"/>
    <w:rsid w:val="00074A7D"/>
    <w:rsid w:val="00095AD3"/>
    <w:rsid w:val="00095B54"/>
    <w:rsid w:val="000B2C84"/>
    <w:rsid w:val="000C21A9"/>
    <w:rsid w:val="000C4B46"/>
    <w:rsid w:val="000E1EDC"/>
    <w:rsid w:val="00104B58"/>
    <w:rsid w:val="00106973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77B67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09C5"/>
    <w:rsid w:val="00345DAD"/>
    <w:rsid w:val="00347E98"/>
    <w:rsid w:val="003526FB"/>
    <w:rsid w:val="003661E1"/>
    <w:rsid w:val="003818AE"/>
    <w:rsid w:val="00381AD4"/>
    <w:rsid w:val="0038254C"/>
    <w:rsid w:val="003903C9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76911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0"/>
    <w:rsid w:val="005C64F3"/>
    <w:rsid w:val="005E1278"/>
    <w:rsid w:val="005F755D"/>
    <w:rsid w:val="0060527D"/>
    <w:rsid w:val="00626AB5"/>
    <w:rsid w:val="00633925"/>
    <w:rsid w:val="006368C3"/>
    <w:rsid w:val="006459AC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E7FB5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1198"/>
    <w:rsid w:val="008664B3"/>
    <w:rsid w:val="00897167"/>
    <w:rsid w:val="008A198F"/>
    <w:rsid w:val="008A3651"/>
    <w:rsid w:val="008B6839"/>
    <w:rsid w:val="008D2A49"/>
    <w:rsid w:val="009144DA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77065"/>
    <w:rsid w:val="00983820"/>
    <w:rsid w:val="009928FA"/>
    <w:rsid w:val="0099424A"/>
    <w:rsid w:val="009A6840"/>
    <w:rsid w:val="009B10C7"/>
    <w:rsid w:val="009C0583"/>
    <w:rsid w:val="009D3840"/>
    <w:rsid w:val="009D5BD7"/>
    <w:rsid w:val="009E1B83"/>
    <w:rsid w:val="009F242E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4CE4"/>
    <w:rsid w:val="00AD7083"/>
    <w:rsid w:val="00AE1AF6"/>
    <w:rsid w:val="00AE3CEE"/>
    <w:rsid w:val="00AE58C9"/>
    <w:rsid w:val="00AE7046"/>
    <w:rsid w:val="00B06C12"/>
    <w:rsid w:val="00B10073"/>
    <w:rsid w:val="00B23519"/>
    <w:rsid w:val="00B3178F"/>
    <w:rsid w:val="00B6346A"/>
    <w:rsid w:val="00B946FF"/>
    <w:rsid w:val="00BC472E"/>
    <w:rsid w:val="00BD048D"/>
    <w:rsid w:val="00BE1086"/>
    <w:rsid w:val="00BE774E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12FA"/>
    <w:rsid w:val="00D41C65"/>
    <w:rsid w:val="00D4690F"/>
    <w:rsid w:val="00D54498"/>
    <w:rsid w:val="00D6236E"/>
    <w:rsid w:val="00D64037"/>
    <w:rsid w:val="00D84AB5"/>
    <w:rsid w:val="00DD4A7E"/>
    <w:rsid w:val="00DD6332"/>
    <w:rsid w:val="00DF0BED"/>
    <w:rsid w:val="00DF1948"/>
    <w:rsid w:val="00DF2926"/>
    <w:rsid w:val="00DF46B0"/>
    <w:rsid w:val="00E03BE7"/>
    <w:rsid w:val="00E062DE"/>
    <w:rsid w:val="00E10973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A65"/>
    <w:rsid w:val="00E70B85"/>
    <w:rsid w:val="00E70D63"/>
    <w:rsid w:val="00E725B3"/>
    <w:rsid w:val="00E81EAB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character" w:customStyle="1" w:styleId="alt-edited1">
    <w:name w:val="alt-edited1"/>
    <w:basedOn w:val="Standardnpsmoodstavce"/>
    <w:rsid w:val="00B10073"/>
    <w:rPr>
      <w:color w:val="4D9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character" w:customStyle="1" w:styleId="alt-edited1">
    <w:name w:val="alt-edited1"/>
    <w:basedOn w:val="Standardnpsmoodstavce"/>
    <w:rsid w:val="00B10073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2016-05-04T08:01:00Z</cp:lastPrinted>
  <dcterms:created xsi:type="dcterms:W3CDTF">2016-05-12T08:08:00Z</dcterms:created>
  <dcterms:modified xsi:type="dcterms:W3CDTF">2016-05-12T08:08:00Z</dcterms:modified>
</cp:coreProperties>
</file>