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64350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43504">
              <w:rPr>
                <w:rFonts w:ascii="Calibri" w:hAnsi="Calibri" w:cs="Calibri"/>
                <w:b/>
                <w:sz w:val="24"/>
                <w:szCs w:val="24"/>
              </w:rPr>
              <w:t xml:space="preserve">Bc. Jitka </w:t>
            </w:r>
            <w:proofErr w:type="spellStart"/>
            <w:r w:rsidRPr="00643504">
              <w:rPr>
                <w:rFonts w:ascii="Calibri" w:hAnsi="Calibri" w:cs="Calibri"/>
                <w:b/>
                <w:sz w:val="24"/>
                <w:szCs w:val="24"/>
              </w:rPr>
              <w:t>Urubová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4350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43504">
              <w:rPr>
                <w:rFonts w:ascii="Calibri" w:hAnsi="Calibri" w:cs="Calibri"/>
                <w:b/>
                <w:sz w:val="24"/>
                <w:szCs w:val="24"/>
              </w:rPr>
              <w:t>Integrovaná marketingová komunikace firmy Beskydský šindel s.r.o.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6435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643504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21444A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B7552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47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74.75pt" o:ole="">
            <v:imagedata r:id="rId7" o:title=""/>
          </v:shape>
          <o:OLEObject Type="Embed" ProgID="Excel.Sheet.8" ShapeID="_x0000_i1025" DrawAspect="Content" ObjectID="_1524316015" r:id="rId8"/>
        </w:objec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Na práci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lze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ocenit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(silné stránky):</w:t>
      </w:r>
    </w:p>
    <w:p w:rsidR="00643504" w:rsidRDefault="00B7552D" w:rsidP="00A419F3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Pragmaticky zadefinovaný cieľ s d</w:t>
      </w:r>
      <w:r w:rsidR="00643504">
        <w:rPr>
          <w:rFonts w:ascii="Calibri" w:hAnsi="Calibri" w:cs="Calibri"/>
          <w:sz w:val="24"/>
          <w:szCs w:val="24"/>
          <w:lang w:val="sk-SK"/>
        </w:rPr>
        <w:t>ôraz</w:t>
      </w:r>
      <w:r>
        <w:rPr>
          <w:rFonts w:ascii="Calibri" w:hAnsi="Calibri" w:cs="Calibri"/>
          <w:sz w:val="24"/>
          <w:szCs w:val="24"/>
          <w:lang w:val="sk-SK"/>
        </w:rPr>
        <w:t>om</w:t>
      </w:r>
      <w:r w:rsidR="00643504">
        <w:rPr>
          <w:rFonts w:ascii="Calibri" w:hAnsi="Calibri" w:cs="Calibri"/>
          <w:sz w:val="24"/>
          <w:szCs w:val="24"/>
          <w:lang w:val="sk-SK"/>
        </w:rPr>
        <w:t xml:space="preserve"> na praktickú využiteľnosť navrhovaných riešení.</w:t>
      </w:r>
    </w:p>
    <w:p w:rsidR="00A419F3" w:rsidRPr="0021444A" w:rsidRDefault="00643504" w:rsidP="00A419F3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Využitie potenciálu analytických marketingových a manažérskych n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sk-SK"/>
        </w:rPr>
        <w:t xml:space="preserve">ástrojov. </w:t>
      </w:r>
      <w:r w:rsidR="00A419F3">
        <w:rPr>
          <w:rFonts w:ascii="Calibri" w:hAnsi="Calibri" w:cs="Calibri"/>
          <w:sz w:val="24"/>
          <w:szCs w:val="24"/>
          <w:lang w:val="sk-SK"/>
        </w:rPr>
        <w:t xml:space="preserve">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Výhrady,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připomínky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a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náměty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k práci (slabé stránky):</w:t>
      </w:r>
    </w:p>
    <w:p w:rsidR="00B7552D" w:rsidRDefault="00B7552D" w:rsidP="00B7552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kontexte témy teoretické východiská mali byť primárne orientované na problematiku IMK. Kvalita spracovania teoretickej časti však nie je spochybnená. </w:t>
      </w:r>
    </w:p>
    <w:p w:rsidR="002C174A" w:rsidRDefault="0064350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Tradičný prístup k integrovanej marketingovej komunikácii bez priamej previazanosti na strategické (marketingové)</w:t>
      </w:r>
      <w:r w:rsidR="002C174A">
        <w:rPr>
          <w:rFonts w:ascii="Calibri" w:hAnsi="Calibri" w:cs="Calibri"/>
          <w:sz w:val="24"/>
          <w:szCs w:val="24"/>
          <w:lang w:val="sk-SK"/>
        </w:rPr>
        <w:t xml:space="preserve"> </w:t>
      </w:r>
      <w:r>
        <w:rPr>
          <w:rFonts w:ascii="Calibri" w:hAnsi="Calibri" w:cs="Calibri"/>
          <w:sz w:val="24"/>
          <w:szCs w:val="24"/>
          <w:lang w:val="sk-SK"/>
        </w:rPr>
        <w:t xml:space="preserve">rozhodnutia. </w:t>
      </w:r>
    </w:p>
    <w:p w:rsidR="00B7552D" w:rsidRDefault="00B7552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Polemicky môže vyznievať spracovanie konceptu IMK ako nového konceptu opierajúc sa pritom o zdroje z roku 2003.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>Otázky k 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obhajobě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: </w:t>
      </w:r>
    </w:p>
    <w:p w:rsidR="008242D2" w:rsidRPr="0021444A" w:rsidRDefault="008242D2" w:rsidP="0021444A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21444A">
        <w:rPr>
          <w:rFonts w:ascii="Calibri" w:hAnsi="Calibri" w:cs="Calibri"/>
          <w:sz w:val="24"/>
          <w:szCs w:val="24"/>
        </w:rPr>
        <w:t>08. 05. 2016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9C4" w:rsidRDefault="003A09C4">
      <w:r>
        <w:separator/>
      </w:r>
    </w:p>
  </w:endnote>
  <w:endnote w:type="continuationSeparator" w:id="0">
    <w:p w:rsidR="003A09C4" w:rsidRDefault="003A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9C4" w:rsidRDefault="003A09C4">
      <w:r>
        <w:separator/>
      </w:r>
    </w:p>
  </w:footnote>
  <w:footnote w:type="continuationSeparator" w:id="0">
    <w:p w:rsidR="003A09C4" w:rsidRDefault="003A0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Header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62B00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444A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174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A09C4"/>
    <w:rsid w:val="003B33D3"/>
    <w:rsid w:val="003B6F1E"/>
    <w:rsid w:val="003D1AA1"/>
    <w:rsid w:val="00406A5C"/>
    <w:rsid w:val="00407767"/>
    <w:rsid w:val="004108F6"/>
    <w:rsid w:val="00416E6E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3504"/>
    <w:rsid w:val="0065496E"/>
    <w:rsid w:val="00657703"/>
    <w:rsid w:val="00657F7B"/>
    <w:rsid w:val="00667642"/>
    <w:rsid w:val="006A14D7"/>
    <w:rsid w:val="006B540B"/>
    <w:rsid w:val="006C7F09"/>
    <w:rsid w:val="006E3EF6"/>
    <w:rsid w:val="006E5E3E"/>
    <w:rsid w:val="006F494A"/>
    <w:rsid w:val="006F5CA5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63C71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419F3"/>
    <w:rsid w:val="00A53EB6"/>
    <w:rsid w:val="00A6102C"/>
    <w:rsid w:val="00A627D5"/>
    <w:rsid w:val="00A734B8"/>
    <w:rsid w:val="00A7396E"/>
    <w:rsid w:val="00A80566"/>
    <w:rsid w:val="00A811EC"/>
    <w:rsid w:val="00A93121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552D"/>
    <w:rsid w:val="00B8715C"/>
    <w:rsid w:val="00B9599E"/>
    <w:rsid w:val="00B97CB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4AF5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01A101-7721-4B19-B619-5F6A316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Název</vt:lpstr>
      </vt:variant>
      <vt:variant>
        <vt:i4>1</vt:i4>
      </vt:variant>
    </vt:vector>
  </HeadingPairs>
  <TitlesOfParts>
    <vt:vector size="5" baseType="lpstr">
      <vt:lpstr>UNIVERZITA TOMÁŠE BATI VE ZLÍNĚ</vt:lpstr>
      <vt:lpstr>Na práci lze ocenit (silné stránky):</vt:lpstr>
      <vt:lpstr>Výhrady, připomínky a náměty k práci (slabé stránky):</vt:lpstr>
      <vt:lpstr>Otázky k obhajobě: </vt:lpstr>
      <vt:lpstr>UNIVERZITA TOMÁŠE BATI VE ZLÍNĚ</vt:lpstr>
    </vt:vector>
  </TitlesOfParts>
  <Company>FMK UTB Zlín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Starchon Peter</cp:lastModifiedBy>
  <cp:revision>9</cp:revision>
  <cp:lastPrinted>2010-04-15T13:27:00Z</cp:lastPrinted>
  <dcterms:created xsi:type="dcterms:W3CDTF">2015-04-03T08:56:00Z</dcterms:created>
  <dcterms:modified xsi:type="dcterms:W3CDTF">2016-05-09T14:21:00Z</dcterms:modified>
</cp:coreProperties>
</file>