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333783" w:rsidRDefault="00333783">
            <w:pPr>
              <w:rPr>
                <w:b/>
              </w:rPr>
            </w:pPr>
            <w:r w:rsidRPr="00333783">
              <w:rPr>
                <w:b/>
              </w:rPr>
              <w:t>KOMPETENCE VE SDÍLENÍ INFORMACÍ O PACIENTOVI V OŠETŘOVATELSKÉM TÝMU A PODÁVÁNÍ INFORMACÍ RODINĚ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333783">
            <w:r>
              <w:t>Markéta Chudárková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333783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333783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333783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34" w:type="dxa"/>
            <w:gridSpan w:val="2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34" w:type="dxa"/>
            <w:gridSpan w:val="2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2164B3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20411">
            <w:pPr>
              <w:tabs>
                <w:tab w:val="center" w:pos="246"/>
              </w:tabs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DE6F40" w:rsidRDefault="00DE6F40" w:rsidP="007F31CD">
            <w:pPr>
              <w:jc w:val="center"/>
              <w:rPr>
                <w:b/>
              </w:rPr>
            </w:pPr>
            <w:r w:rsidRPr="00DE6F40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DE6F40" w:rsidRDefault="00DE6F40" w:rsidP="007F31CD">
            <w:pPr>
              <w:jc w:val="center"/>
              <w:rPr>
                <w:b/>
              </w:rPr>
            </w:pPr>
            <w:r w:rsidRPr="00DE6F4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2164B3" w:rsidRDefault="00DE6F40" w:rsidP="007F31C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2164B3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>
                <w:rPr>
                  <w:rFonts w:ascii="Arial Narrow" w:hAnsi="Arial Narrow"/>
                </w:rPr>
              </w:sdtEndPr>
              <w:sdtContent>
                <w:sdt>
                  <w:sdtPr>
                    <w:rPr>
                      <w:rFonts w:ascii="Arial Narrow" w:hAnsi="Arial Narrow"/>
                    </w:rPr>
                    <w:id w:val="19256468"/>
                  </w:sdtPr>
                  <w:sdtEndPr/>
                  <w:sdtContent>
                    <w:r w:rsidR="00157FAF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2164B3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  <w:r w:rsidRPr="002164B3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2164B3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361BE0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3533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361BE0" w:rsidP="00157FAF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19256475"/>
                  </w:sdtPr>
                  <w:sdtEndPr/>
                  <w:sdtContent>
                    <w:r w:rsidR="00157FAF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361BE0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157FAF" w:rsidP="006B75DD">
            <w:pPr>
              <w:jc w:val="both"/>
            </w:pPr>
            <w:r>
              <w:t xml:space="preserve">   Bakalářská práce je v ro</w:t>
            </w:r>
            <w:r w:rsidR="006C470B">
              <w:t>zsahu 106 s. textu a 4 přílohy</w:t>
            </w:r>
            <w:r w:rsidR="001A3497">
              <w:t xml:space="preserve"> (dotazníky)</w:t>
            </w:r>
            <w:r w:rsidR="006C470B">
              <w:t xml:space="preserve">, je členěna na část teoretickou a praktickou. Autorka využila 29 </w:t>
            </w:r>
            <w:r w:rsidR="006B75DD">
              <w:t xml:space="preserve">aktuálních </w:t>
            </w:r>
            <w:r w:rsidR="006C470B">
              <w:t>zdrojů</w:t>
            </w:r>
            <w:r w:rsidR="0084754D">
              <w:t xml:space="preserve">, které jsou citovány dle normy, snad se jen </w:t>
            </w:r>
            <w:r w:rsidR="00E108B6">
              <w:br/>
            </w:r>
            <w:r w:rsidR="0084754D">
              <w:t xml:space="preserve">v některých částech příliš zaměřuje na jednoho a téhož autora. </w:t>
            </w:r>
            <w:r w:rsidR="002674B4">
              <w:t xml:space="preserve">Po jazykové stránce na dobré úrovni, </w:t>
            </w:r>
            <w:r w:rsidR="002674B4">
              <w:lastRenderedPageBreak/>
              <w:t xml:space="preserve">zaznamenávám ojedinělé chyby, spíše překlepy, které neovlivňují celkový dojem z práce. </w:t>
            </w:r>
            <w:r w:rsidR="00FE0189">
              <w:t xml:space="preserve">Téma je vysoce aktuální, </w:t>
            </w:r>
            <w:r w:rsidR="004D4DD3">
              <w:t xml:space="preserve">praktické a </w:t>
            </w:r>
            <w:r w:rsidR="00FE0189">
              <w:t>zajímavé</w:t>
            </w:r>
            <w:r w:rsidR="004D4DD3">
              <w:t>,</w:t>
            </w:r>
            <w:r w:rsidR="003600E1">
              <w:t xml:space="preserve"> má souvislost s</w:t>
            </w:r>
            <w:r w:rsidR="00FE0189">
              <w:t>e studovan</w:t>
            </w:r>
            <w:r w:rsidR="003600E1">
              <w:t>ý</w:t>
            </w:r>
            <w:r w:rsidR="00FE0189">
              <w:t>m obor</w:t>
            </w:r>
            <w:r w:rsidR="003600E1">
              <w:t>em</w:t>
            </w:r>
            <w:r w:rsidR="00FE0189">
              <w:t xml:space="preserve">. </w:t>
            </w:r>
          </w:p>
          <w:p w:rsidR="006B75DD" w:rsidRDefault="006B75DD" w:rsidP="006B75DD">
            <w:pPr>
              <w:jc w:val="both"/>
            </w:pPr>
          </w:p>
          <w:p w:rsidR="006B75DD" w:rsidRDefault="006B75DD" w:rsidP="00756D8E">
            <w:pPr>
              <w:jc w:val="both"/>
            </w:pPr>
            <w:r>
              <w:t xml:space="preserve">    Teoretickou část autorka ro</w:t>
            </w:r>
            <w:r w:rsidR="00034A77">
              <w:t>z</w:t>
            </w:r>
            <w:r>
              <w:t xml:space="preserve">dělila do 3 kapitol, </w:t>
            </w:r>
            <w:r w:rsidR="00034A77">
              <w:t xml:space="preserve">v první </w:t>
            </w:r>
            <w:r w:rsidR="002164B3">
              <w:t>popisuje</w:t>
            </w:r>
            <w:r w:rsidR="00034A77">
              <w:t xml:space="preserve"> právní vztahy související </w:t>
            </w:r>
            <w:r w:rsidR="003600E1">
              <w:br/>
            </w:r>
            <w:r w:rsidR="00034A77">
              <w:t>s předávání</w:t>
            </w:r>
            <w:r w:rsidR="003600E1">
              <w:t>m</w:t>
            </w:r>
            <w:r w:rsidR="00034A77">
              <w:t xml:space="preserve"> informací, právy pacientů apod., pod</w:t>
            </w:r>
            <w:r w:rsidR="00756D8E">
              <w:t>o</w:t>
            </w:r>
            <w:r w:rsidR="00034A77">
              <w:t xml:space="preserve">ddíl 1.5.5 </w:t>
            </w:r>
            <w:r w:rsidR="00756D8E">
              <w:t>se zaměřuje na předávání/sdílení informací zdravotníků</w:t>
            </w:r>
            <w:r w:rsidR="003600E1">
              <w:t>, mohla být širší s ohledem na všeobecnou sestru a celý multidisciplinární tým zdravotníků</w:t>
            </w:r>
            <w:r w:rsidR="00756D8E">
              <w:t xml:space="preserve">. Ve druhé kapitole jsou informace vztahující se k dokumentaci pacienta, škoda, že autorka nevěnuje více pozornosti </w:t>
            </w:r>
            <w:r w:rsidR="00B33622">
              <w:t xml:space="preserve">týmové spolupráci (sdílení) a </w:t>
            </w:r>
            <w:r w:rsidR="00756D8E">
              <w:t>ošetřovatelské dokumentac</w:t>
            </w:r>
            <w:r w:rsidR="003600E1">
              <w:t>i</w:t>
            </w:r>
            <w:r w:rsidR="00756D8E">
              <w:t>, která je součástí dokumentace zdravotní. Poslední kapitola teoretické části se zabývá</w:t>
            </w:r>
            <w:r>
              <w:t xml:space="preserve"> </w:t>
            </w:r>
            <w:r w:rsidR="00756D8E">
              <w:t xml:space="preserve">etickými aspekty </w:t>
            </w:r>
            <w:r w:rsidR="00B33622">
              <w:br/>
            </w:r>
            <w:r w:rsidR="00756D8E">
              <w:t>ve vztahu k dokumentaci, kodexům a kompetencím zdravotnických pracovníků.</w:t>
            </w:r>
          </w:p>
          <w:p w:rsidR="00756D8E" w:rsidRDefault="00756D8E" w:rsidP="00756D8E">
            <w:pPr>
              <w:jc w:val="both"/>
            </w:pPr>
          </w:p>
          <w:p w:rsidR="00756D8E" w:rsidRDefault="00756D8E" w:rsidP="003600E1">
            <w:pPr>
              <w:jc w:val="both"/>
            </w:pPr>
            <w:r>
              <w:t xml:space="preserve">   Praktická část </w:t>
            </w:r>
            <w:r w:rsidR="00B33622">
              <w:t>–</w:t>
            </w:r>
            <w:r w:rsidR="004B39ED">
              <w:t xml:space="preserve"> </w:t>
            </w:r>
            <w:r w:rsidR="00FE0A97">
              <w:t xml:space="preserve">cíle mohly být doplněny o </w:t>
            </w:r>
            <w:r w:rsidR="00B33622">
              <w:t>cíl ve vztahu ke sdílení informací o pacientovi v ošetřovatelském týmu</w:t>
            </w:r>
            <w:r w:rsidR="00FE0A97">
              <w:t xml:space="preserve"> (název práce)</w:t>
            </w:r>
            <w:r w:rsidR="00B33622">
              <w:t>,</w:t>
            </w:r>
            <w:r w:rsidR="009607A1">
              <w:t xml:space="preserve"> metodika </w:t>
            </w:r>
            <w:r w:rsidR="004B39ED">
              <w:t>j</w:t>
            </w:r>
            <w:r w:rsidR="00B33622">
              <w:t>e</w:t>
            </w:r>
            <w:r w:rsidR="004B39ED">
              <w:t xml:space="preserve"> vzhledem k typu práce vyhovující. Kladně hodnotím volbu vzorku respondentů, kdy je na problematiku kompetencí a sdílení informací </w:t>
            </w:r>
            <w:r w:rsidR="00FE0A97">
              <w:br/>
            </w:r>
            <w:r w:rsidR="004B39ED">
              <w:t xml:space="preserve">o pacientovi pohlíženo jednak </w:t>
            </w:r>
            <w:r w:rsidR="003600E1">
              <w:t xml:space="preserve">z pohledu </w:t>
            </w:r>
            <w:r w:rsidR="004B39ED">
              <w:t>pacient</w:t>
            </w:r>
            <w:r w:rsidR="003600E1">
              <w:t>a</w:t>
            </w:r>
            <w:r w:rsidR="004B39ED">
              <w:t>, jednak jeho rodin</w:t>
            </w:r>
            <w:r w:rsidR="003600E1">
              <w:t>y</w:t>
            </w:r>
            <w:r w:rsidR="004B39ED">
              <w:t xml:space="preserve"> a také sest</w:t>
            </w:r>
            <w:r w:rsidR="003600E1">
              <w:t>e</w:t>
            </w:r>
            <w:r w:rsidR="004B39ED">
              <w:t>r</w:t>
            </w:r>
            <w:r w:rsidR="00FB595A">
              <w:t>, celkem bylo 200 respondentů</w:t>
            </w:r>
            <w:r w:rsidR="004B39ED">
              <w:t>. Paní Chudárková zvolila techniku dotazníku</w:t>
            </w:r>
            <w:r w:rsidR="003600E1">
              <w:t>, která se mi jeví v</w:t>
            </w:r>
            <w:r w:rsidR="00032A6B">
              <w:t>yhovující. Dotazníky byly originálně kon</w:t>
            </w:r>
            <w:r w:rsidR="00FB595A">
              <w:t>s</w:t>
            </w:r>
            <w:r w:rsidR="00032A6B">
              <w:t>truovány</w:t>
            </w:r>
            <w:r w:rsidR="00FB595A">
              <w:t xml:space="preserve"> pro tři skupiny respondentů, stejně jako jejich zpracování bylo pro autorku jistě dost náročné.</w:t>
            </w:r>
            <w:r w:rsidR="003600E1">
              <w:t xml:space="preserve"> </w:t>
            </w:r>
            <w:r w:rsidR="00720411">
              <w:t xml:space="preserve">Toto je také důvod překročení doporučeného rozsahu </w:t>
            </w:r>
            <w:r w:rsidR="00E108B6">
              <w:t xml:space="preserve">stran </w:t>
            </w:r>
            <w:r w:rsidR="00720411">
              <w:t xml:space="preserve">práce (výsledky tří dotazníků). </w:t>
            </w:r>
            <w:r w:rsidR="009607A1">
              <w:t xml:space="preserve">Výsledky jsou přehledně zpracované do tabulek, grafů a okomentovány. </w:t>
            </w:r>
            <w:r w:rsidR="003600E1">
              <w:t>Diskuze shrnuje získané inf</w:t>
            </w:r>
            <w:r w:rsidR="009607A1">
              <w:t>ormace ve vztahu k cílům práce. Hodnotím podkapitolu 5.1 Doporučení pro praxi.</w:t>
            </w:r>
          </w:p>
          <w:p w:rsidR="009607A1" w:rsidRDefault="009607A1" w:rsidP="003600E1">
            <w:pPr>
              <w:jc w:val="both"/>
            </w:pPr>
          </w:p>
          <w:p w:rsidR="009607A1" w:rsidRDefault="009607A1" w:rsidP="003600E1">
            <w:pPr>
              <w:jc w:val="both"/>
            </w:pPr>
            <w:r>
              <w:t xml:space="preserve">   Předkládaná bakalářská práce splňuje požadavky, kladně hodnotím netradiční téma, které velmi souvisí se studovaným oborem. Přes výše uvedené nedostatky</w:t>
            </w:r>
            <w:r w:rsidR="00DA20A6">
              <w:t xml:space="preserve"> doporučuji k obhajobě a</w:t>
            </w:r>
            <w:bookmarkStart w:id="0" w:name="_GoBack"/>
            <w:bookmarkEnd w:id="0"/>
            <w:r>
              <w:t xml:space="preserve"> </w:t>
            </w:r>
            <w:r w:rsidR="00E108B6">
              <w:t>zvláště</w:t>
            </w:r>
            <w:r>
              <w:t xml:space="preserve"> hodnotím náročnost zpracování praktické části.</w:t>
            </w:r>
          </w:p>
          <w:p w:rsidR="003600E1" w:rsidRPr="007F31CD" w:rsidRDefault="003600E1" w:rsidP="003600E1">
            <w:pPr>
              <w:jc w:val="both"/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361BE0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333783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361BE0" w:rsidP="0045219D">
            <w:sdt>
              <w:sdtPr>
                <w:id w:val="1969246049"/>
              </w:sdtPr>
              <w:sdtEndPr/>
              <w:sdtContent>
                <w:sdt>
                  <w:sdtPr>
                    <w:id w:val="7884541"/>
                  </w:sdtPr>
                  <w:sdtEndPr/>
                  <w:sdtContent>
                    <w:sdt>
                      <w:sdtPr>
                        <w:id w:val="7884542"/>
                      </w:sdtPr>
                      <w:sdtEndPr/>
                      <w:sdtContent>
                        <w:r w:rsidR="0045219D">
                          <w:rPr>
                            <w:rFonts w:ascii="MS Gothic" w:eastAsia="MS Gothic" w:hAnsi="MS Gothic" w:hint="eastAsia"/>
                          </w:rPr>
                          <w:t>☒</w:t>
                        </w:r>
                      </w:sdtContent>
                    </w:sdt>
                  </w:sdtContent>
                </w:sdt>
                <w:r w:rsidR="0045219D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361BE0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361BE0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361BE0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361BE0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361BE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361BE0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361BE0" w:rsidP="00E7033B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r w:rsidR="0033378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333783">
              <w:t xml:space="preserve"> 20. 5. 2016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333783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E0" w:rsidRDefault="00361BE0" w:rsidP="004C45B6">
      <w:pPr>
        <w:spacing w:after="0" w:line="240" w:lineRule="auto"/>
      </w:pPr>
      <w:r>
        <w:separator/>
      </w:r>
    </w:p>
  </w:endnote>
  <w:endnote w:type="continuationSeparator" w:id="0">
    <w:p w:rsidR="00361BE0" w:rsidRDefault="00361BE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E0" w:rsidRDefault="00361BE0" w:rsidP="004C45B6">
      <w:pPr>
        <w:spacing w:after="0" w:line="240" w:lineRule="auto"/>
      </w:pPr>
      <w:r>
        <w:separator/>
      </w:r>
    </w:p>
  </w:footnote>
  <w:footnote w:type="continuationSeparator" w:id="0">
    <w:p w:rsidR="00361BE0" w:rsidRDefault="00361BE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32A6B"/>
    <w:rsid w:val="00034A77"/>
    <w:rsid w:val="00046D6B"/>
    <w:rsid w:val="00073D09"/>
    <w:rsid w:val="000905F0"/>
    <w:rsid w:val="000B07E6"/>
    <w:rsid w:val="000B14E6"/>
    <w:rsid w:val="000B32B6"/>
    <w:rsid w:val="00127679"/>
    <w:rsid w:val="0014406D"/>
    <w:rsid w:val="00153ABC"/>
    <w:rsid w:val="00157FAF"/>
    <w:rsid w:val="001A3497"/>
    <w:rsid w:val="001B148C"/>
    <w:rsid w:val="002132BD"/>
    <w:rsid w:val="002164B3"/>
    <w:rsid w:val="00217189"/>
    <w:rsid w:val="002202E0"/>
    <w:rsid w:val="002277C7"/>
    <w:rsid w:val="00252416"/>
    <w:rsid w:val="002674B4"/>
    <w:rsid w:val="00274165"/>
    <w:rsid w:val="00295D3E"/>
    <w:rsid w:val="002A558B"/>
    <w:rsid w:val="002A7C9E"/>
    <w:rsid w:val="002C1776"/>
    <w:rsid w:val="002C37A0"/>
    <w:rsid w:val="002F5571"/>
    <w:rsid w:val="00332E2B"/>
    <w:rsid w:val="00333783"/>
    <w:rsid w:val="00353306"/>
    <w:rsid w:val="003600E1"/>
    <w:rsid w:val="00361BE0"/>
    <w:rsid w:val="00384E64"/>
    <w:rsid w:val="003925D9"/>
    <w:rsid w:val="00446C50"/>
    <w:rsid w:val="00451FDE"/>
    <w:rsid w:val="0045219D"/>
    <w:rsid w:val="0047082F"/>
    <w:rsid w:val="004732B8"/>
    <w:rsid w:val="00487D8D"/>
    <w:rsid w:val="004925F8"/>
    <w:rsid w:val="004B39ED"/>
    <w:rsid w:val="004C45B6"/>
    <w:rsid w:val="004D114B"/>
    <w:rsid w:val="004D4DD3"/>
    <w:rsid w:val="004E2622"/>
    <w:rsid w:val="00514F4A"/>
    <w:rsid w:val="005200F9"/>
    <w:rsid w:val="00523649"/>
    <w:rsid w:val="00560FD5"/>
    <w:rsid w:val="005646FA"/>
    <w:rsid w:val="00585D57"/>
    <w:rsid w:val="005D079A"/>
    <w:rsid w:val="005E0759"/>
    <w:rsid w:val="005E4C88"/>
    <w:rsid w:val="00623491"/>
    <w:rsid w:val="00631D5B"/>
    <w:rsid w:val="00636F03"/>
    <w:rsid w:val="00657971"/>
    <w:rsid w:val="00665EE0"/>
    <w:rsid w:val="00667FD5"/>
    <w:rsid w:val="006B75DD"/>
    <w:rsid w:val="006C470B"/>
    <w:rsid w:val="006D4DEF"/>
    <w:rsid w:val="00705FA6"/>
    <w:rsid w:val="00707EBF"/>
    <w:rsid w:val="0071495A"/>
    <w:rsid w:val="00720411"/>
    <w:rsid w:val="00730C11"/>
    <w:rsid w:val="00756D8E"/>
    <w:rsid w:val="007F31CD"/>
    <w:rsid w:val="0084754D"/>
    <w:rsid w:val="00924508"/>
    <w:rsid w:val="009246F8"/>
    <w:rsid w:val="00950407"/>
    <w:rsid w:val="009607A1"/>
    <w:rsid w:val="0098046A"/>
    <w:rsid w:val="0099475D"/>
    <w:rsid w:val="00996161"/>
    <w:rsid w:val="009D3673"/>
    <w:rsid w:val="00A32848"/>
    <w:rsid w:val="00AB7549"/>
    <w:rsid w:val="00AC785B"/>
    <w:rsid w:val="00B24FCA"/>
    <w:rsid w:val="00B33622"/>
    <w:rsid w:val="00BA74A0"/>
    <w:rsid w:val="00BC2A63"/>
    <w:rsid w:val="00BD0B7A"/>
    <w:rsid w:val="00BF794A"/>
    <w:rsid w:val="00C0316C"/>
    <w:rsid w:val="00C07707"/>
    <w:rsid w:val="00C16488"/>
    <w:rsid w:val="00C4583B"/>
    <w:rsid w:val="00C61293"/>
    <w:rsid w:val="00C64D29"/>
    <w:rsid w:val="00D64B8B"/>
    <w:rsid w:val="00D82AEB"/>
    <w:rsid w:val="00DA20A6"/>
    <w:rsid w:val="00DB6634"/>
    <w:rsid w:val="00DE6F40"/>
    <w:rsid w:val="00E108B6"/>
    <w:rsid w:val="00EA3D91"/>
    <w:rsid w:val="00EF7877"/>
    <w:rsid w:val="00F21DF0"/>
    <w:rsid w:val="00F2600B"/>
    <w:rsid w:val="00F569EB"/>
    <w:rsid w:val="00F836E5"/>
    <w:rsid w:val="00F97920"/>
    <w:rsid w:val="00FA07F6"/>
    <w:rsid w:val="00FA4B70"/>
    <w:rsid w:val="00FB595A"/>
    <w:rsid w:val="00FE0189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Kratka_</cp:lastModifiedBy>
  <cp:revision>65</cp:revision>
  <cp:lastPrinted>2015-09-02T08:37:00Z</cp:lastPrinted>
  <dcterms:created xsi:type="dcterms:W3CDTF">2016-01-04T22:22:00Z</dcterms:created>
  <dcterms:modified xsi:type="dcterms:W3CDTF">2016-06-02T08:37:00Z</dcterms:modified>
</cp:coreProperties>
</file>