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F009EC">
              <w:rPr>
                <w:rFonts w:ascii="Times New Roman" w:hAnsi="Times New Roman" w:cs="Times New Roman"/>
                <w:b/>
              </w:rPr>
              <w:t>Srnec Peter</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009EC">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009EC">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009EC">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009EC">
              <w:rPr>
                <w:rFonts w:ascii="Times New Roman" w:hAnsi="Times New Roman" w:cs="Times New Roman"/>
              </w:rPr>
              <w:t>RNDr. Dmitrij Bondarev,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F009E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009EC">
              <w:rPr>
                <w:rFonts w:ascii="Times New Roman" w:hAnsi="Times New Roman" w:cs="Times New Roman"/>
              </w:rPr>
              <w:t>RNDr. Marek Ingr,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7A2D08">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2D08">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F009EC">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F009EC">
              <w:rPr>
                <w:rFonts w:ascii="Times New Roman" w:hAnsi="Times New Roman" w:cs="Times New Roman"/>
                <w:sz w:val="24"/>
              </w:rPr>
              <w:t>Synthesis and Properties of Conjugated Microporous Polymers</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C62656">
              <w:rPr>
                <w:rFonts w:ascii="Times New Roman" w:hAnsi="Times New Roman" w:cs="Times New Roman"/>
                <w:b/>
                <w:sz w:val="24"/>
                <w:szCs w:val="24"/>
              </w:rPr>
            </w:r>
            <w:r w:rsidR="00C62656">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C62656">
              <w:rPr>
                <w:rFonts w:ascii="Times New Roman" w:hAnsi="Times New Roman" w:cs="Times New Roman"/>
                <w:b/>
                <w:sz w:val="28"/>
              </w:rPr>
            </w:r>
            <w:r w:rsidR="00C62656">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5F18F1" w:rsidRDefault="007E7A9D" w:rsidP="005F18F1">
            <w:r w:rsidRPr="00DF017B">
              <w:fldChar w:fldCharType="begin">
                <w:ffData>
                  <w:name w:val="Text11"/>
                  <w:enabled/>
                  <w:calcOnExit w:val="0"/>
                  <w:textInput/>
                </w:ffData>
              </w:fldChar>
            </w:r>
            <w:r w:rsidRPr="00DF017B">
              <w:instrText xml:space="preserve"> FORMTEXT </w:instrText>
            </w:r>
            <w:r w:rsidRPr="00DF017B">
              <w:fldChar w:fldCharType="separate"/>
            </w:r>
            <w:r w:rsidR="00882220">
              <w:t>Bakalářská práce se zabývá syntézou a charakterizací konjugovaných mikroporézních polymerů. Autor v ní navrhl a vyzkoušel několik postupů syntézy tří různých konjugovaných polymerů a jejich postpolymerizačních modifikací. K tomu účelu musel navíc syntetizovat i některé použité monomery. Identita těchto monomerů byla ověřena metodou 1H NMR v roztoku, struktura polymerů pak byla částečně charakterizována 13C NMR v pevné fázi. Dále byl</w:t>
            </w:r>
            <w:r w:rsidR="005F18F1">
              <w:t>y</w:t>
            </w:r>
            <w:r w:rsidR="00882220">
              <w:t xml:space="preserve"> pro získané polymerní materiály</w:t>
            </w:r>
            <w:r w:rsidR="005F18F1">
              <w:t xml:space="preserve"> stanoveny specifické objemy a povrchy pórů metodou měření adsorpční izotermy BET. Rozsah práce tedy považuji za zcela uspokojivý a odpovídající zadání, a to i přesto, že autor pravděpodobně nedělal všechny experimenty, zejména ty instrumnetálně náročn</w:t>
            </w:r>
            <w:r w:rsidR="00612720">
              <w:t>ě</w:t>
            </w:r>
            <w:r w:rsidR="005F18F1">
              <w:t>jší , úplně sám, nýbrž využil pomoci zkušenějších spolupracovníků.</w:t>
            </w:r>
          </w:p>
          <w:p w:rsidR="001C3F91" w:rsidRDefault="005F18F1" w:rsidP="00FE2B87">
            <w:r>
              <w:t>Práce je sepsána anglicky, což je třeba vyzdvihnout, třebaže angličtina není zcela perfektní - na řadě míst jsou nesprávně užívány, případně zcela chybí</w:t>
            </w:r>
            <w:r w:rsidR="00612720">
              <w:t>,</w:t>
            </w:r>
            <w:r>
              <w:t xml:space="preserve"> členy, zájmena či předložky, </w:t>
            </w:r>
            <w:r w:rsidR="00612720">
              <w:t>n</w:t>
            </w:r>
            <w:r>
              <w:t xml:space="preserve">ení dodržována stavba anglické věty nebo jsou používána </w:t>
            </w:r>
            <w:r w:rsidR="00612720">
              <w:t xml:space="preserve">kontextově </w:t>
            </w:r>
            <w:r>
              <w:t>nevhodná slova. Nicméně obecně je text v zásadě srozumitelný, jen výjimečně se stává, že jazyková neobratnost komplik</w:t>
            </w:r>
            <w:r w:rsidR="00612720">
              <w:t>uje</w:t>
            </w:r>
            <w:r>
              <w:t xml:space="preserve"> pochopení informace nebo měn</w:t>
            </w:r>
            <w:r w:rsidR="00612720">
              <w:t>í</w:t>
            </w:r>
            <w:r>
              <w:t xml:space="preserve"> </w:t>
            </w:r>
            <w:r w:rsidR="00FE2B87">
              <w:t xml:space="preserve">obsah sdělení. </w:t>
            </w:r>
          </w:p>
          <w:p w:rsidR="00076034" w:rsidRDefault="001C3F91" w:rsidP="00076034">
            <w:r>
              <w:t xml:space="preserve">Po formální stránce má práce celou řadu nedostatků, vesměs drobných, ale někdy i závažnějších. Ve prospěch autora je však třeba říct, že některé z nich padají na vrub doporučené šablony pro sepisování BP, která je pro texty přírodovědného zaměření poněkud nevhodná. Proto práce není standardně členěna na úvod, metody a materiál, výsledky, diskusi a závěr, nýbrž na "teoretickou" a "experimentální" část, přičemž v dalším dělení úplně chybí </w:t>
            </w:r>
            <w:r w:rsidR="001656C3">
              <w:t xml:space="preserve">např. </w:t>
            </w:r>
            <w:r>
              <w:t xml:space="preserve">sekce nadepsaná "výsledky" nebo "výsledky a diskuse". Naopak "úvod" nemá obsahovat jen uvozující krátký odstavec, ale všechno to, co je zde vedeno jako "teoretická část". </w:t>
            </w:r>
            <w:r w:rsidR="001656C3">
              <w:t xml:space="preserve">Závažnější nedostatky lze najít v práci s obrázky - na řadu obrázků chybí odkaz z textu (je nutný, i když je obrázek v blízkosti textu, k němuž se vztahuje), legenda pod obrázkem mnohdy obsahuje jen název obrázku, ale ne vysvětlení jeho obsahu (rovněž je nutnou součástí, smysl obrázku musí být zřejmý nezávisle na hlavním textu), některé obrázky v úvodní části, které jsou přejaty z jiných zdrojů, nejsou upraveny tak, aby </w:t>
            </w:r>
            <w:r w:rsidR="00C62F7F">
              <w:t xml:space="preserve">byly srozumitelné bez </w:t>
            </w:r>
            <w:r w:rsidR="00936AB2">
              <w:t xml:space="preserve">znalosti </w:t>
            </w:r>
            <w:r w:rsidR="00C62F7F">
              <w:t xml:space="preserve">původního textu (např. v obr. 4 a 6 nejsou popsány panely a) a b), v obr. 13 není defiována sloučenina č. 1). </w:t>
            </w:r>
            <w:r w:rsidR="00CA7288">
              <w:t>Dalším formálním nedostatkem je použití hvězdičky ("*") jakožto symbolu pro násobení (str. 15). Toto je v anglickém i českém textu zcela nepřípustné, uvedený symbol se používá pouze v kódech počítačových programů. V anglickém textu je nutné používat buď křížek ("</w:t>
            </w:r>
            <w:r w:rsidR="00CA7288" w:rsidRPr="00CA7288">
              <w:t>×</w:t>
            </w:r>
            <w:r w:rsidR="00CA7288">
              <w:t>") nebo, je-li to možné, symbol úplně vynechat. (Z těžko pochopitelných důvodů je však tato chyba mezi studenty FT jakýmsi tradičním a značně rozšířeným folklórem.)</w:t>
            </w:r>
            <w:r w:rsidR="00076034">
              <w:t xml:space="preserve"> Některé zkratky nejsou vysvětleny při prvním použití, což by s</w:t>
            </w:r>
            <w:r w:rsidR="00936AB2">
              <w:t>e</w:t>
            </w:r>
            <w:r w:rsidR="00076034">
              <w:t xml:space="preserve"> mělo dělat i tehdy, jsou-li následně vypsány v seznamu zkratek. </w:t>
            </w:r>
          </w:p>
          <w:p w:rsidR="00076034" w:rsidRDefault="00076034" w:rsidP="00076034">
            <w:r>
              <w:t>Použité literární zdroje jsou aktuální a relevantní a jsou v zásadě správně citovány (s velmi drobnými nedostatky typu smíšeného užití krátkých a dlouhých pomlček ve strán</w:t>
            </w:r>
            <w:r w:rsidR="007A2D08">
              <w:t>k</w:t>
            </w:r>
            <w:r>
              <w:t>ovém rozsahu). Rešeršní část je sepsána přehledně, byť poměrně stroze, a poskytuje základní přehled o porézních polymerních materiálech</w:t>
            </w:r>
            <w:r w:rsidR="00936AB2">
              <w:t>,</w:t>
            </w:r>
            <w:r>
              <w:t xml:space="preserve"> metodách jejich přípravy</w:t>
            </w:r>
            <w:r w:rsidR="00936AB2">
              <w:t xml:space="preserve"> a techologických aplikacích</w:t>
            </w:r>
            <w:r>
              <w:t>. Vzhledem k tomu, že jde o bakalářskou práci, však mohl autor stručně popsat i základní principy použitých experimentálních metod.</w:t>
            </w:r>
          </w:p>
          <w:p w:rsidR="007B3200" w:rsidRDefault="00126CAD" w:rsidP="00EB20CB">
            <w:r>
              <w:t xml:space="preserve">Metodická část je napsána věcně a správně s několika menšími nedostatky. </w:t>
            </w:r>
            <w:r w:rsidR="00CB1EF1">
              <w:t>U popisu jednotlivých syntéz jsou již na tomto místě uvedeny výsledky analýz produktů (elementární analýza, odkazy na NMR spektra), což j</w:t>
            </w:r>
            <w:r w:rsidR="00EB20CB">
              <w:t>sou</w:t>
            </w:r>
            <w:r w:rsidR="00CB1EF1">
              <w:t xml:space="preserve"> informace patřící až do výsledkové části. Fyzikální metody jsou pak </w:t>
            </w:r>
            <w:r w:rsidR="00EB20CB">
              <w:t>p</w:t>
            </w:r>
            <w:r w:rsidR="00CB1EF1">
              <w:t xml:space="preserve">opsány jen čistě technicky, ale není uveden postup, jak byly z primárních dat získány konečné výsledky analýz (např. u adsorpčních izoterem postup vyhodnocení specifického objemu a povrchu pórů </w:t>
            </w:r>
            <w:r w:rsidR="00CB1EF1">
              <w:lastRenderedPageBreak/>
              <w:t>z naměřených křivek).</w:t>
            </w:r>
          </w:p>
          <w:p w:rsidR="007B3200" w:rsidRDefault="00EB20CB" w:rsidP="000D588B">
            <w:r>
              <w:t>Prezentace výsledků je poměrně strohá, z části je uvedena již v sekci metod</w:t>
            </w:r>
            <w:r w:rsidR="00FC7868">
              <w:t xml:space="preserve"> (výtěžky, elementární analýzy, odkazy na spektra NMR)</w:t>
            </w:r>
            <w:r>
              <w:t xml:space="preserve">, zbytek je pak v části nazvané "diskuse", která ovšem zhruba odpovídá standardně používané sekci "výsledky a diskuse". Nicméně např. u jednotlivých syntéz je popis velmi stručný, </w:t>
            </w:r>
            <w:r w:rsidR="000D588B">
              <w:t>identita látky je sice ověřena pomocí NMR, ale tato spektra jsou jenom přiložena jako doplňující informace a nejsou nikterak komentována (což je nedílnou součástí prezentace výsledků). Navíc u těchto spekter, včetně obr. 25, není uvedeno, o jaký typ NMR spektra se jedná (1H, 13C, …).</w:t>
            </w:r>
            <w:r>
              <w:t xml:space="preserve"> </w:t>
            </w:r>
            <w:r w:rsidR="000D588B">
              <w:t>Jak již bylo zmíněno, není uveden postup získání finálních dat z BET izoterem</w:t>
            </w:r>
            <w:r w:rsidR="00936AB2">
              <w:t>, výsledné hodnoty</w:t>
            </w:r>
            <w:r w:rsidR="000D588B">
              <w:t xml:space="preserve"> jsou pouze uveden</w:t>
            </w:r>
            <w:r w:rsidR="00936AB2">
              <w:t>y</w:t>
            </w:r>
            <w:r w:rsidR="000D588B">
              <w:t xml:space="preserve"> v obrázcích 21-23, 26 a v tabulce 2, která má navíc nedokončený titulek a chybnou jednotku ve 4. sloupci. </w:t>
            </w:r>
          </w:p>
          <w:p w:rsidR="00612720" w:rsidRDefault="007B3200" w:rsidP="00612720">
            <w:r>
              <w:t xml:space="preserve">Naopak diskuse je sepsána poměrně zdařile, výsledky jsou v ní vhodným způsobem interpretovány a </w:t>
            </w:r>
            <w:r w:rsidR="00612720">
              <w:t>uvedeny do souvislostí. Mírným nedostatkem jsou toliko jisté formulační neobratnosti v angličtině.</w:t>
            </w:r>
            <w:r w:rsidR="00EB20CB">
              <w:t xml:space="preserve"> </w:t>
            </w:r>
            <w:r w:rsidR="00612720">
              <w:t xml:space="preserve">Podobně je možné hodnotit i závěr práce, který je stručný a výstižný. </w:t>
            </w:r>
          </w:p>
          <w:p w:rsidR="00A3668A" w:rsidRPr="00A3668A" w:rsidRDefault="00612720" w:rsidP="00A73ED9">
            <w:pPr>
              <w:rPr>
                <w:rFonts w:ascii="Times New Roman" w:hAnsi="Times New Roman" w:cs="Times New Roman"/>
                <w:sz w:val="24"/>
              </w:rPr>
            </w:pPr>
            <w:r>
              <w:t xml:space="preserve">I přes výše uvedené nedostatky však </w:t>
            </w:r>
            <w:r w:rsidR="00AE349E">
              <w:t>oceňuji zejména množství vykonané experimentální práce, pročež předkládan</w:t>
            </w:r>
            <w:r w:rsidR="00A73ED9">
              <w:t>o</w:t>
            </w:r>
            <w:r w:rsidR="00AE349E">
              <w:t xml:space="preserve">u bakalářskou práci </w:t>
            </w:r>
            <w:r>
              <w:t>považuji</w:t>
            </w:r>
            <w:r w:rsidR="00AE349E">
              <w:t xml:space="preserve"> </w:t>
            </w:r>
            <w:r>
              <w:t>za poměrně kvalitní a doporučuji ji k dalšímu řízení.</w:t>
            </w:r>
            <w:r w:rsidR="00CB1EF1">
              <w:t xml:space="preserve"> </w:t>
            </w:r>
            <w:r w:rsidR="00CA7288">
              <w:t xml:space="preserve"> </w:t>
            </w:r>
            <w:r w:rsidR="001656C3">
              <w:t xml:space="preserve"> </w:t>
            </w:r>
            <w:r w:rsidR="00882220">
              <w:t xml:space="preserve"> </w:t>
            </w:r>
            <w:r w:rsidR="007E7A9D"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E37B02"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E37B02">
              <w:t>1. U vzorků poly(DEB)-1 a poly(DEB)-2 uvádíte (str. 32 a násl.), že polymer modifikovaný benzylaminem má oproti nemodifikovanému prekurzoru nižší specifický povrch, avšak vyšší specifický objem pórů. To vysvětlujete přítomností většího počtu mezopórů v modifikovaném polymeru</w:t>
            </w:r>
            <w:r w:rsidR="00F61D90">
              <w:t>, zatímco prekurzor považujete za mikroporézní</w:t>
            </w:r>
            <w:r w:rsidR="00E37B02">
              <w:t>. Z povahy BET izoterem však vyplývá, že za mezoporézní strukturu je možné považovat spíše nemodifikovaný prekurzor, u něhož se projevuje hystereze v desorpci dusíku</w:t>
            </w:r>
            <w:r w:rsidR="00AE349E">
              <w:t>,</w:t>
            </w:r>
            <w:r w:rsidR="00E37B02">
              <w:t xml:space="preserve"> obvykle připisovaná kapilární kondenzaci </w:t>
            </w:r>
            <w:r w:rsidR="00AE349E">
              <w:t xml:space="preserve">právě </w:t>
            </w:r>
            <w:r w:rsidR="00E37B02">
              <w:t xml:space="preserve">v mezopórech. </w:t>
            </w:r>
            <w:r w:rsidR="00F61D90">
              <w:t xml:space="preserve">Naopak u modifikovaného polymeru se tvar izotermy blíží spíše makroporéznímu až neporéznímu materiálu. Porozita obou materiálů se tedy jeví být "o kategorii výše". Můžete vaše závěry </w:t>
            </w:r>
            <w:r w:rsidR="00A73ED9">
              <w:t xml:space="preserve">vedené </w:t>
            </w:r>
            <w:r w:rsidR="00F61D90">
              <w:t>v tomto bodě blíže vysvětlit</w:t>
            </w:r>
            <w:r w:rsidR="00E37B02">
              <w:t>?</w:t>
            </w:r>
          </w:p>
          <w:p w:rsidR="00E37B02" w:rsidRDefault="00E37B02" w:rsidP="00D465A9"/>
          <w:p w:rsidR="00A3668A" w:rsidRDefault="00E37B02" w:rsidP="00D465A9">
            <w:r>
              <w:t>2.</w:t>
            </w:r>
            <w:r w:rsidR="00FC7868">
              <w:t xml:space="preserve"> U poly(DET) popisujete dvě varianty polmerizační reakce - katalyzovanou a termálně indukovanou. Pozorované rozdíly ve struktuře produktu vysvětlujete vyšší mírou síťování (crosslinking) u termální varianty. Můžete blíže specifikovat </w:t>
            </w:r>
            <w:r w:rsidR="00AE349E">
              <w:t>struktury, o nichž se domníváte, že v jednotlivých variantách syntézy vznikají,</w:t>
            </w:r>
            <w:r w:rsidR="00FC7868">
              <w:t xml:space="preserve"> a navrhnout experimentální postupy, kterými by bylo možné je prokázat?</w:t>
            </w:r>
            <w:r>
              <w:t xml:space="preserve"> </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F009EC">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13477" w:rsidRPr="00DF017B">
        <w:fldChar w:fldCharType="begin">
          <w:ffData>
            <w:name w:val="Text11"/>
            <w:enabled/>
            <w:calcOnExit w:val="0"/>
            <w:textInput/>
          </w:ffData>
        </w:fldChar>
      </w:r>
      <w:r w:rsidR="00E13477" w:rsidRPr="00DF017B">
        <w:instrText xml:space="preserve"> FORMTEXT </w:instrText>
      </w:r>
      <w:r w:rsidR="00E13477" w:rsidRPr="00DF017B">
        <w:fldChar w:fldCharType="separate"/>
      </w:r>
      <w:r w:rsidR="00536CA0">
        <w:t>3</w:t>
      </w:r>
      <w:r w:rsidR="00F009EC">
        <w:t>.6.2016</w:t>
      </w:r>
      <w:r w:rsidR="00E13477"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56" w:rsidRDefault="00C62656" w:rsidP="006D48B2">
      <w:pPr>
        <w:spacing w:after="0" w:line="240" w:lineRule="auto"/>
      </w:pPr>
      <w:r>
        <w:separator/>
      </w:r>
    </w:p>
  </w:endnote>
  <w:endnote w:type="continuationSeparator" w:id="0">
    <w:p w:rsidR="00C62656" w:rsidRDefault="00C62656"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1413C0">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1413C0">
      <w:rPr>
        <w:rStyle w:val="slostrnky"/>
        <w:noProof/>
        <w:sz w:val="20"/>
        <w:szCs w:val="20"/>
      </w:rPr>
      <w:t>3</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56" w:rsidRDefault="00C62656" w:rsidP="006D48B2">
      <w:pPr>
        <w:spacing w:after="0" w:line="240" w:lineRule="auto"/>
      </w:pPr>
      <w:r>
        <w:separator/>
      </w:r>
    </w:p>
  </w:footnote>
  <w:footnote w:type="continuationSeparator" w:id="0">
    <w:p w:rsidR="00C62656" w:rsidRDefault="00C62656"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26C03B2" wp14:editId="64D6AF8F">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EHKvFKjCreVxGmqUH8yeBTireS0=" w:salt="HmSvd8uNbPQXpKGCw2i41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0340D2"/>
    <w:rsid w:val="00076034"/>
    <w:rsid w:val="000C6436"/>
    <w:rsid w:val="000D588B"/>
    <w:rsid w:val="00126CAD"/>
    <w:rsid w:val="001413C0"/>
    <w:rsid w:val="001656C3"/>
    <w:rsid w:val="00182CBA"/>
    <w:rsid w:val="001C3F91"/>
    <w:rsid w:val="002E0174"/>
    <w:rsid w:val="003D382F"/>
    <w:rsid w:val="003F3BA9"/>
    <w:rsid w:val="003F3EBE"/>
    <w:rsid w:val="00455546"/>
    <w:rsid w:val="004F69C0"/>
    <w:rsid w:val="00536CA0"/>
    <w:rsid w:val="00587381"/>
    <w:rsid w:val="00597C0B"/>
    <w:rsid w:val="005F18F1"/>
    <w:rsid w:val="005F2D24"/>
    <w:rsid w:val="00612720"/>
    <w:rsid w:val="006D48B2"/>
    <w:rsid w:val="00735679"/>
    <w:rsid w:val="007A2D08"/>
    <w:rsid w:val="007B3200"/>
    <w:rsid w:val="007E7A9D"/>
    <w:rsid w:val="00841783"/>
    <w:rsid w:val="008527D7"/>
    <w:rsid w:val="00882220"/>
    <w:rsid w:val="00936AB2"/>
    <w:rsid w:val="00955110"/>
    <w:rsid w:val="009E628A"/>
    <w:rsid w:val="00A3668A"/>
    <w:rsid w:val="00A54FC8"/>
    <w:rsid w:val="00A73ED9"/>
    <w:rsid w:val="00AE349E"/>
    <w:rsid w:val="00AF5117"/>
    <w:rsid w:val="00B34530"/>
    <w:rsid w:val="00C62656"/>
    <w:rsid w:val="00C62F7F"/>
    <w:rsid w:val="00CA7288"/>
    <w:rsid w:val="00CB1EF1"/>
    <w:rsid w:val="00D41D5E"/>
    <w:rsid w:val="00D465A9"/>
    <w:rsid w:val="00D9546B"/>
    <w:rsid w:val="00E13477"/>
    <w:rsid w:val="00E37B02"/>
    <w:rsid w:val="00E86310"/>
    <w:rsid w:val="00EB20CB"/>
    <w:rsid w:val="00EF1E29"/>
    <w:rsid w:val="00F009EC"/>
    <w:rsid w:val="00F4032A"/>
    <w:rsid w:val="00F61D90"/>
    <w:rsid w:val="00FA6DBB"/>
    <w:rsid w:val="00FC7868"/>
    <w:rsid w:val="00FD5214"/>
    <w:rsid w:val="00FE2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D72E-77B6-46D9-8DEA-EDAA2710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6724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2015-05-06T10:22:00Z</cp:lastPrinted>
  <dcterms:created xsi:type="dcterms:W3CDTF">2016-06-06T08:07:00Z</dcterms:created>
  <dcterms:modified xsi:type="dcterms:W3CDTF">2016-06-06T08:07:00Z</dcterms:modified>
</cp:coreProperties>
</file>