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75238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9F4277">
        <w:fldChar w:fldCharType="separate"/>
      </w:r>
      <w:r w:rsidR="00575238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75238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75238" w:rsidRPr="00F506F8">
        <w:rPr>
          <w:b/>
          <w:i/>
          <w:sz w:val="22"/>
          <w:szCs w:val="22"/>
        </w:rPr>
      </w:r>
      <w:r w:rsidR="00575238" w:rsidRPr="00F506F8">
        <w:rPr>
          <w:b/>
          <w:i/>
          <w:sz w:val="22"/>
          <w:szCs w:val="22"/>
        </w:rPr>
        <w:fldChar w:fldCharType="separate"/>
      </w:r>
      <w:r w:rsidR="00AD18DC">
        <w:rPr>
          <w:b/>
          <w:i/>
          <w:sz w:val="22"/>
          <w:szCs w:val="22"/>
        </w:rPr>
        <w:t xml:space="preserve">Helena </w:t>
      </w:r>
      <w:r w:rsidR="00EC4EC2">
        <w:rPr>
          <w:b/>
          <w:i/>
          <w:sz w:val="22"/>
          <w:szCs w:val="22"/>
        </w:rPr>
        <w:t>Poláková</w:t>
      </w:r>
      <w:r w:rsidR="00575238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75238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9F4277">
        <w:fldChar w:fldCharType="separate"/>
      </w:r>
      <w:r w:rsidR="00575238">
        <w:fldChar w:fldCharType="end"/>
      </w:r>
      <w:bookmarkEnd w:id="2"/>
      <w:r>
        <w:t xml:space="preserve"> BP:</w:t>
      </w:r>
      <w:bookmarkStart w:id="3" w:name="Text2"/>
      <w:r w:rsidR="00575238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75238" w:rsidRPr="00F506F8">
        <w:rPr>
          <w:b/>
          <w:i/>
          <w:sz w:val="22"/>
          <w:szCs w:val="22"/>
        </w:rPr>
      </w:r>
      <w:r w:rsidR="00575238" w:rsidRPr="00F506F8">
        <w:rPr>
          <w:b/>
          <w:i/>
          <w:sz w:val="22"/>
          <w:szCs w:val="22"/>
        </w:rPr>
        <w:fldChar w:fldCharType="separate"/>
      </w:r>
      <w:r w:rsidR="00AD18DC">
        <w:rPr>
          <w:b/>
          <w:i/>
          <w:sz w:val="22"/>
          <w:szCs w:val="22"/>
        </w:rPr>
        <w:t>Mgr. Lenka Hanáková</w:t>
      </w:r>
      <w:r w:rsidR="00575238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75238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75238" w:rsidRPr="00F506F8">
        <w:rPr>
          <w:b/>
          <w:i/>
          <w:sz w:val="22"/>
          <w:szCs w:val="22"/>
        </w:rPr>
      </w:r>
      <w:r w:rsidR="00575238" w:rsidRPr="00F506F8">
        <w:rPr>
          <w:b/>
          <w:i/>
          <w:sz w:val="22"/>
          <w:szCs w:val="22"/>
        </w:rPr>
        <w:fldChar w:fldCharType="separate"/>
      </w:r>
      <w:r w:rsidR="00AD18DC">
        <w:rPr>
          <w:b/>
          <w:i/>
          <w:sz w:val="22"/>
          <w:szCs w:val="22"/>
        </w:rPr>
        <w:t>2015/2016</w:t>
      </w:r>
      <w:r w:rsidR="00575238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75238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75238" w:rsidRPr="007358A5">
        <w:rPr>
          <w:b/>
          <w:i/>
          <w:sz w:val="22"/>
          <w:szCs w:val="22"/>
        </w:rPr>
      </w:r>
      <w:r w:rsidR="00575238" w:rsidRPr="007358A5">
        <w:rPr>
          <w:b/>
          <w:i/>
          <w:sz w:val="22"/>
          <w:szCs w:val="22"/>
        </w:rPr>
        <w:fldChar w:fldCharType="separate"/>
      </w:r>
      <w:r w:rsidR="00AD18DC">
        <w:rPr>
          <w:b/>
          <w:i/>
          <w:sz w:val="22"/>
          <w:szCs w:val="22"/>
        </w:rPr>
        <w:t>Pojetí času ve veřejné správě a správním řízení</w:t>
      </w:r>
      <w:r w:rsidR="00575238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75238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F4277">
              <w:rPr>
                <w:b/>
                <w:snapToGrid w:val="0"/>
                <w:color w:val="000000"/>
              </w:rPr>
            </w:r>
            <w:r w:rsidR="009F427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75238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4277">
              <w:rPr>
                <w:snapToGrid w:val="0"/>
                <w:color w:val="000000"/>
              </w:rPr>
            </w:r>
            <w:r w:rsidR="009F42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75238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4277">
              <w:rPr>
                <w:snapToGrid w:val="0"/>
                <w:color w:val="000000"/>
              </w:rPr>
            </w:r>
            <w:r w:rsidR="009F42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75238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4277">
              <w:rPr>
                <w:snapToGrid w:val="0"/>
                <w:color w:val="000000"/>
              </w:rPr>
            </w:r>
            <w:r w:rsidR="009F42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75238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F4277">
              <w:rPr>
                <w:b/>
                <w:snapToGrid w:val="0"/>
                <w:color w:val="000000"/>
              </w:rPr>
            </w:r>
            <w:r w:rsidR="009F427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75238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4277">
              <w:rPr>
                <w:snapToGrid w:val="0"/>
                <w:color w:val="000000"/>
              </w:rPr>
            </w:r>
            <w:r w:rsidR="009F42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75238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4277">
              <w:rPr>
                <w:snapToGrid w:val="0"/>
                <w:color w:val="000000"/>
              </w:rPr>
            </w:r>
            <w:r w:rsidR="009F42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75238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4277">
              <w:rPr>
                <w:snapToGrid w:val="0"/>
                <w:color w:val="000000"/>
              </w:rPr>
            </w:r>
            <w:r w:rsidR="009F42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75238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4277">
              <w:rPr>
                <w:snapToGrid w:val="0"/>
                <w:color w:val="000000"/>
              </w:rPr>
            </w:r>
            <w:r w:rsidR="009F42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75238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F4277">
              <w:rPr>
                <w:b/>
                <w:snapToGrid w:val="0"/>
                <w:color w:val="000000"/>
              </w:rPr>
            </w:r>
            <w:r w:rsidR="009F427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75238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4277">
              <w:rPr>
                <w:snapToGrid w:val="0"/>
                <w:color w:val="000000"/>
              </w:rPr>
            </w:r>
            <w:r w:rsidR="009F42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75238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4277">
              <w:rPr>
                <w:snapToGrid w:val="0"/>
                <w:color w:val="000000"/>
              </w:rPr>
            </w:r>
            <w:r w:rsidR="009F42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75238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4277">
              <w:rPr>
                <w:snapToGrid w:val="0"/>
                <w:color w:val="000000"/>
              </w:rPr>
            </w:r>
            <w:r w:rsidR="009F42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75238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F4277">
              <w:rPr>
                <w:b/>
                <w:snapToGrid w:val="0"/>
                <w:color w:val="000000"/>
              </w:rPr>
            </w:r>
            <w:r w:rsidR="009F427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75238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4277">
              <w:rPr>
                <w:snapToGrid w:val="0"/>
                <w:color w:val="000000"/>
              </w:rPr>
            </w:r>
            <w:r w:rsidR="009F42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75238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4277">
              <w:rPr>
                <w:snapToGrid w:val="0"/>
                <w:color w:val="000000"/>
              </w:rPr>
            </w:r>
            <w:r w:rsidR="009F42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75238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4277">
              <w:rPr>
                <w:snapToGrid w:val="0"/>
                <w:color w:val="000000"/>
              </w:rPr>
            </w:r>
            <w:r w:rsidR="009F42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75238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4277">
              <w:rPr>
                <w:snapToGrid w:val="0"/>
                <w:color w:val="000000"/>
              </w:rPr>
            </w:r>
            <w:r w:rsidR="009F42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75238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4277">
              <w:rPr>
                <w:snapToGrid w:val="0"/>
                <w:color w:val="000000"/>
              </w:rPr>
            </w:r>
            <w:r w:rsidR="009F42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75238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F4277">
              <w:rPr>
                <w:b/>
                <w:snapToGrid w:val="0"/>
                <w:color w:val="000000"/>
              </w:rPr>
            </w:r>
            <w:r w:rsidR="009F427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75238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4277">
              <w:rPr>
                <w:snapToGrid w:val="0"/>
                <w:color w:val="000000"/>
              </w:rPr>
            </w:r>
            <w:r w:rsidR="009F42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75238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4277">
              <w:rPr>
                <w:snapToGrid w:val="0"/>
                <w:color w:val="000000"/>
              </w:rPr>
            </w:r>
            <w:r w:rsidR="009F42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75238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4277">
              <w:rPr>
                <w:snapToGrid w:val="0"/>
                <w:color w:val="000000"/>
              </w:rPr>
            </w:r>
            <w:r w:rsidR="009F42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75238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4277">
              <w:rPr>
                <w:snapToGrid w:val="0"/>
                <w:color w:val="000000"/>
              </w:rPr>
            </w:r>
            <w:r w:rsidR="009F42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75238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F4277">
              <w:rPr>
                <w:b/>
                <w:snapToGrid w:val="0"/>
                <w:color w:val="000000"/>
              </w:rPr>
            </w:r>
            <w:r w:rsidR="009F427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75238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4277">
              <w:rPr>
                <w:snapToGrid w:val="0"/>
                <w:color w:val="000000"/>
              </w:rPr>
            </w:r>
            <w:r w:rsidR="009F42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75238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4277">
              <w:rPr>
                <w:snapToGrid w:val="0"/>
                <w:color w:val="000000"/>
              </w:rPr>
            </w:r>
            <w:r w:rsidR="009F42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75238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4277">
              <w:rPr>
                <w:snapToGrid w:val="0"/>
                <w:color w:val="000000"/>
              </w:rPr>
            </w:r>
            <w:r w:rsidR="009F42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75238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4277">
              <w:rPr>
                <w:snapToGrid w:val="0"/>
                <w:color w:val="000000"/>
              </w:rPr>
            </w:r>
            <w:r w:rsidR="009F42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75238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4277">
              <w:rPr>
                <w:snapToGrid w:val="0"/>
                <w:color w:val="000000"/>
              </w:rPr>
            </w:r>
            <w:r w:rsidR="009F42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75238" w:rsidP="0003117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31170">
              <w:rPr>
                <w:b/>
                <w:snapToGrid w:val="0"/>
                <w:color w:val="000000"/>
              </w:rPr>
              <w:t>26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5669EA" w:rsidRDefault="00575238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1188A">
        <w:rPr>
          <w:i/>
          <w:noProof/>
        </w:rPr>
        <w:t xml:space="preserve">Práci hodnotím jako velmi zdařilou. Autorka zvolila nadčasově aktuální téma. Práci zaměřila na veřejnou správu z pohledu času jako právní události. Práce je členěna na dvě části, teoretickou a praktickou. Struktura práce je přehledná. V teoretické části autorka práce vysvětluje pojmy z veřejné správy a správního řízení, zaměřuje se na pojem "lhůta" a "doba". </w:t>
      </w:r>
      <w:r w:rsidR="003A6D1C">
        <w:rPr>
          <w:i/>
          <w:noProof/>
        </w:rPr>
        <w:t xml:space="preserve">Závěr této části práce věnuje vymezení lhůt a dob vztahujících se k zadržení řidičského průkazu a k bodovému systému. Praktická část je pojata jako analýza vybraných soudních rozhodnutí, která se vztahují k tématu práce. Provedenou analýzou je demonstrován praktický dopad rozdílného nahlížení správních orgánů na charakter lhůty pro zahájení správního řízení. Autorka pro analýzu zvolila rozhodnutí Nejvyššího správního soudu vztahující se k dobám a lhůtám obsažených v bodovém systému a při zadržení řidičského průkazu. Současně poukazuje na problematické situace v řízení o námitkách proti záznamu bodů v registru řidičů, včetně doporučení možných změn de lege ferenda. </w:t>
      </w:r>
      <w:r w:rsidR="00273B38">
        <w:rPr>
          <w:i/>
          <w:noProof/>
        </w:rPr>
        <w:t xml:space="preserve">Práce je zpracována velmi přehledně. Autorka se vyjadřuje srozumitelně. Autorka při zpracování práce využila </w:t>
      </w:r>
      <w:r w:rsidR="00E62A49">
        <w:rPr>
          <w:i/>
          <w:noProof/>
        </w:rPr>
        <w:t xml:space="preserve">a citovala </w:t>
      </w:r>
      <w:r w:rsidR="00273B38">
        <w:rPr>
          <w:i/>
          <w:noProof/>
        </w:rPr>
        <w:t xml:space="preserve">nejen odbornou literaturu, ale pracovala také s právními předpisy, metodickými pokyny příslušných ústředních orgánů státní správy, </w:t>
      </w:r>
      <w:r w:rsidR="00E62A49">
        <w:rPr>
          <w:i/>
          <w:noProof/>
        </w:rPr>
        <w:t>rozsudky Nejvyššího správního soudu.</w:t>
      </w:r>
      <w:r w:rsidR="005669EA">
        <w:rPr>
          <w:i/>
          <w:noProof/>
        </w:rPr>
        <w:t xml:space="preserve"> Z práce je patrný přehled autorky v daném tématu a její zájem o tuto problematiku. </w:t>
      </w:r>
    </w:p>
    <w:p w:rsidR="005669EA" w:rsidRDefault="005669EA" w:rsidP="003E1491">
      <w:pPr>
        <w:rPr>
          <w:i/>
          <w:noProof/>
        </w:rPr>
      </w:pPr>
    </w:p>
    <w:p w:rsidR="0043169A" w:rsidRDefault="005669EA" w:rsidP="003E1491">
      <w:pPr>
        <w:rPr>
          <w:i/>
          <w:noProof/>
        </w:rPr>
      </w:pPr>
      <w:r>
        <w:rPr>
          <w:i/>
          <w:noProof/>
        </w:rPr>
        <w:t>Otázka č. 1:</w:t>
      </w:r>
      <w:r w:rsidR="0043169A">
        <w:rPr>
          <w:i/>
          <w:noProof/>
        </w:rPr>
        <w:t xml:space="preserve"> V jakých případech by měl zákonodárce v právní úpravě preferovat prekluzivní lhůty a v jakých případech pořádkové lhůty? Vysvětlete na příkladu.</w:t>
      </w:r>
    </w:p>
    <w:p w:rsidR="0043169A" w:rsidRDefault="0043169A" w:rsidP="003E1491">
      <w:pPr>
        <w:rPr>
          <w:i/>
          <w:noProof/>
        </w:rPr>
      </w:pPr>
    </w:p>
    <w:p w:rsidR="002D0B6A" w:rsidRDefault="0043169A" w:rsidP="003E1491">
      <w:pPr>
        <w:rPr>
          <w:i/>
          <w:noProof/>
        </w:rPr>
      </w:pPr>
      <w:r>
        <w:rPr>
          <w:i/>
          <w:noProof/>
        </w:rPr>
        <w:t>Otázka č. 2: Rozhodovací činnost Nejvyššího správního soudu vypovídá o tom, že problematika lhůt a dob není vždy zcela jednoznačná ani pro aplikující správní orgány. Pokuste se shrnout</w:t>
      </w:r>
      <w:r w:rsidR="00014109">
        <w:rPr>
          <w:i/>
          <w:noProof/>
        </w:rPr>
        <w:t xml:space="preserve"> na základě vašich poznatků, v čem správní orgány nejčastěji chybují</w:t>
      </w:r>
      <w:r w:rsidR="00186B1A">
        <w:rPr>
          <w:i/>
          <w:noProof/>
        </w:rPr>
        <w:t xml:space="preserve"> a jak by bylo možné zajistit, aby v rozhodovací činnosti správních orgánů k těmto chybám způsobený</w:t>
      </w:r>
      <w:r w:rsidR="000D0F1E">
        <w:rPr>
          <w:i/>
          <w:noProof/>
        </w:rPr>
        <w:t>m</w:t>
      </w:r>
      <w:r w:rsidR="00186B1A">
        <w:rPr>
          <w:i/>
          <w:noProof/>
        </w:rPr>
        <w:t xml:space="preserve"> nesprávnou  interpretací právních předpisů nedocházelo.</w:t>
      </w:r>
    </w:p>
    <w:p w:rsidR="002D0B6A" w:rsidRDefault="002D0B6A" w:rsidP="003E1491">
      <w:pPr>
        <w:rPr>
          <w:i/>
          <w:noProof/>
        </w:rPr>
      </w:pPr>
    </w:p>
    <w:p w:rsidR="002D0B6A" w:rsidRDefault="002D0B6A" w:rsidP="003E1491">
      <w:pPr>
        <w:rPr>
          <w:i/>
          <w:noProof/>
        </w:rPr>
      </w:pPr>
    </w:p>
    <w:p w:rsidR="002D0B6A" w:rsidRDefault="002D0B6A" w:rsidP="003E1491">
      <w:pPr>
        <w:rPr>
          <w:i/>
          <w:noProof/>
        </w:rPr>
      </w:pPr>
    </w:p>
    <w:p w:rsidR="002D0B6A" w:rsidRDefault="002D0B6A" w:rsidP="003E1491">
      <w:pPr>
        <w:rPr>
          <w:i/>
          <w:noProof/>
        </w:rPr>
      </w:pPr>
    </w:p>
    <w:p w:rsidR="002D0B6A" w:rsidRDefault="002D0B6A" w:rsidP="003E1491">
      <w:pPr>
        <w:rPr>
          <w:i/>
          <w:noProof/>
        </w:rPr>
      </w:pPr>
    </w:p>
    <w:p w:rsidR="002D0B6A" w:rsidRDefault="002D0B6A" w:rsidP="003E1491">
      <w:pPr>
        <w:rPr>
          <w:i/>
          <w:noProof/>
        </w:rPr>
      </w:pPr>
    </w:p>
    <w:p w:rsidR="00DC219A" w:rsidRPr="00AE58C9" w:rsidRDefault="00186B1A" w:rsidP="003E1491">
      <w:pPr>
        <w:rPr>
          <w:i/>
        </w:rPr>
      </w:pPr>
      <w:r>
        <w:rPr>
          <w:i/>
          <w:noProof/>
        </w:rPr>
        <w:t xml:space="preserve"> </w:t>
      </w:r>
      <w:r w:rsidR="003A6D1C">
        <w:rPr>
          <w:i/>
          <w:noProof/>
        </w:rPr>
        <w:t xml:space="preserve"> </w:t>
      </w:r>
      <w:r w:rsidR="00575238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lastRenderedPageBreak/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75238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F4277">
        <w:rPr>
          <w:i/>
        </w:rPr>
      </w:r>
      <w:r w:rsidR="009F4277">
        <w:rPr>
          <w:i/>
        </w:rPr>
        <w:fldChar w:fldCharType="separate"/>
      </w:r>
      <w:r w:rsidR="00575238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75238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F4277">
        <w:rPr>
          <w:i/>
        </w:rPr>
      </w:r>
      <w:r w:rsidR="009F4277">
        <w:rPr>
          <w:i/>
        </w:rPr>
        <w:fldChar w:fldCharType="separate"/>
      </w:r>
      <w:r w:rsidR="00575238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75238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75238" w:rsidRPr="009C34E5">
        <w:rPr>
          <w:i/>
        </w:rPr>
      </w:r>
      <w:r w:rsidR="00575238" w:rsidRPr="009C34E5">
        <w:rPr>
          <w:i/>
        </w:rPr>
        <w:fldChar w:fldCharType="separate"/>
      </w:r>
      <w:r w:rsidR="00623B44">
        <w:rPr>
          <w:i/>
          <w:noProof/>
        </w:rPr>
        <w:t>23.5.2016</w:t>
      </w:r>
      <w:r w:rsidR="00575238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75238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9F4277">
        <w:fldChar w:fldCharType="separate"/>
      </w:r>
      <w:r w:rsidR="00575238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277" w:rsidRDefault="009F4277">
      <w:r>
        <w:separator/>
      </w:r>
    </w:p>
  </w:endnote>
  <w:endnote w:type="continuationSeparator" w:id="0">
    <w:p w:rsidR="009F4277" w:rsidRDefault="009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277" w:rsidRDefault="009F4277">
      <w:r>
        <w:separator/>
      </w:r>
    </w:p>
  </w:footnote>
  <w:footnote w:type="continuationSeparator" w:id="0">
    <w:p w:rsidR="009F4277" w:rsidRDefault="009F4277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14109"/>
    <w:rsid w:val="00031170"/>
    <w:rsid w:val="00074A7D"/>
    <w:rsid w:val="00095B54"/>
    <w:rsid w:val="000B53DA"/>
    <w:rsid w:val="000C21A9"/>
    <w:rsid w:val="000D0F1E"/>
    <w:rsid w:val="000E1EDC"/>
    <w:rsid w:val="000E4BED"/>
    <w:rsid w:val="00107EC6"/>
    <w:rsid w:val="00127D61"/>
    <w:rsid w:val="00132C42"/>
    <w:rsid w:val="0016014F"/>
    <w:rsid w:val="00186B1A"/>
    <w:rsid w:val="001967C6"/>
    <w:rsid w:val="001A6F9F"/>
    <w:rsid w:val="001B5B85"/>
    <w:rsid w:val="001E0D4A"/>
    <w:rsid w:val="001E2A34"/>
    <w:rsid w:val="002126D4"/>
    <w:rsid w:val="00240D6D"/>
    <w:rsid w:val="00245202"/>
    <w:rsid w:val="00257A02"/>
    <w:rsid w:val="002639CA"/>
    <w:rsid w:val="00273B38"/>
    <w:rsid w:val="00292769"/>
    <w:rsid w:val="00296250"/>
    <w:rsid w:val="002A4678"/>
    <w:rsid w:val="002B5820"/>
    <w:rsid w:val="002D0B6A"/>
    <w:rsid w:val="002E04A7"/>
    <w:rsid w:val="002F1ECB"/>
    <w:rsid w:val="00314823"/>
    <w:rsid w:val="003526FB"/>
    <w:rsid w:val="00370CC5"/>
    <w:rsid w:val="00372455"/>
    <w:rsid w:val="003818AE"/>
    <w:rsid w:val="00396CEB"/>
    <w:rsid w:val="003A6D1C"/>
    <w:rsid w:val="003C6485"/>
    <w:rsid w:val="003D36A5"/>
    <w:rsid w:val="003E1491"/>
    <w:rsid w:val="003F6CCE"/>
    <w:rsid w:val="00412058"/>
    <w:rsid w:val="0042254A"/>
    <w:rsid w:val="0043169A"/>
    <w:rsid w:val="00447CEB"/>
    <w:rsid w:val="004507A2"/>
    <w:rsid w:val="00460C07"/>
    <w:rsid w:val="00474757"/>
    <w:rsid w:val="004F54EE"/>
    <w:rsid w:val="005358E6"/>
    <w:rsid w:val="00566326"/>
    <w:rsid w:val="005669EA"/>
    <w:rsid w:val="00575238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C72D9"/>
    <w:rsid w:val="005E1278"/>
    <w:rsid w:val="005F679A"/>
    <w:rsid w:val="005F755D"/>
    <w:rsid w:val="00623B44"/>
    <w:rsid w:val="00644B74"/>
    <w:rsid w:val="006671D8"/>
    <w:rsid w:val="006A7C13"/>
    <w:rsid w:val="006F1B78"/>
    <w:rsid w:val="00727728"/>
    <w:rsid w:val="007358A5"/>
    <w:rsid w:val="00743C53"/>
    <w:rsid w:val="00744E24"/>
    <w:rsid w:val="00747CA6"/>
    <w:rsid w:val="00750650"/>
    <w:rsid w:val="00762294"/>
    <w:rsid w:val="0076724C"/>
    <w:rsid w:val="007A5A4C"/>
    <w:rsid w:val="007D3E97"/>
    <w:rsid w:val="007D6146"/>
    <w:rsid w:val="008034A7"/>
    <w:rsid w:val="00812F58"/>
    <w:rsid w:val="00836E50"/>
    <w:rsid w:val="008375DD"/>
    <w:rsid w:val="00837ABF"/>
    <w:rsid w:val="00847924"/>
    <w:rsid w:val="008664B3"/>
    <w:rsid w:val="00873AF9"/>
    <w:rsid w:val="008875A8"/>
    <w:rsid w:val="00897167"/>
    <w:rsid w:val="008B6839"/>
    <w:rsid w:val="008D5A6F"/>
    <w:rsid w:val="0091071D"/>
    <w:rsid w:val="00913AF7"/>
    <w:rsid w:val="00922D6D"/>
    <w:rsid w:val="0092788E"/>
    <w:rsid w:val="00943B3B"/>
    <w:rsid w:val="009625A3"/>
    <w:rsid w:val="00971DE0"/>
    <w:rsid w:val="00983820"/>
    <w:rsid w:val="009B120D"/>
    <w:rsid w:val="009C0583"/>
    <w:rsid w:val="009C3441"/>
    <w:rsid w:val="009C34E5"/>
    <w:rsid w:val="009C7C61"/>
    <w:rsid w:val="009D3840"/>
    <w:rsid w:val="009F4277"/>
    <w:rsid w:val="00A0709B"/>
    <w:rsid w:val="00A11E00"/>
    <w:rsid w:val="00A421F7"/>
    <w:rsid w:val="00A57D9B"/>
    <w:rsid w:val="00A70749"/>
    <w:rsid w:val="00A83BD2"/>
    <w:rsid w:val="00A925F6"/>
    <w:rsid w:val="00AC6D49"/>
    <w:rsid w:val="00AD18DC"/>
    <w:rsid w:val="00AD7083"/>
    <w:rsid w:val="00AE58C9"/>
    <w:rsid w:val="00AF658E"/>
    <w:rsid w:val="00B23519"/>
    <w:rsid w:val="00B3178F"/>
    <w:rsid w:val="00B6346A"/>
    <w:rsid w:val="00BF307F"/>
    <w:rsid w:val="00BF6B5D"/>
    <w:rsid w:val="00C2327A"/>
    <w:rsid w:val="00C30044"/>
    <w:rsid w:val="00C35354"/>
    <w:rsid w:val="00C447A8"/>
    <w:rsid w:val="00C615ED"/>
    <w:rsid w:val="00C72298"/>
    <w:rsid w:val="00C9306F"/>
    <w:rsid w:val="00CB4E27"/>
    <w:rsid w:val="00CD1219"/>
    <w:rsid w:val="00D31088"/>
    <w:rsid w:val="00D71CB4"/>
    <w:rsid w:val="00D848A7"/>
    <w:rsid w:val="00DB2A76"/>
    <w:rsid w:val="00DC219A"/>
    <w:rsid w:val="00DF1948"/>
    <w:rsid w:val="00E1188A"/>
    <w:rsid w:val="00E1292E"/>
    <w:rsid w:val="00E366A1"/>
    <w:rsid w:val="00E62A49"/>
    <w:rsid w:val="00E70D63"/>
    <w:rsid w:val="00E725B3"/>
    <w:rsid w:val="00EC2D7F"/>
    <w:rsid w:val="00EC4EC2"/>
    <w:rsid w:val="00EE754F"/>
    <w:rsid w:val="00F30FB7"/>
    <w:rsid w:val="00F31975"/>
    <w:rsid w:val="00F506F8"/>
    <w:rsid w:val="00F56AFE"/>
    <w:rsid w:val="00F85FF5"/>
    <w:rsid w:val="00F8725E"/>
    <w:rsid w:val="00F93E10"/>
    <w:rsid w:val="00FA216C"/>
    <w:rsid w:val="00FB1E25"/>
    <w:rsid w:val="00FC0F45"/>
    <w:rsid w:val="00FD5918"/>
    <w:rsid w:val="00FD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52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52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52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52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171B72B-AFE1-4236-B50D-54FD31A72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734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5055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Slamenikova</cp:lastModifiedBy>
  <cp:revision>2</cp:revision>
  <cp:lastPrinted>2016-05-24T06:23:00Z</cp:lastPrinted>
  <dcterms:created xsi:type="dcterms:W3CDTF">2016-05-24T06:23:00Z</dcterms:created>
  <dcterms:modified xsi:type="dcterms:W3CDTF">2016-05-24T06:23:00Z</dcterms:modified>
</cp:coreProperties>
</file>