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B256DF">
            <w:r>
              <w:t xml:space="preserve">Význam motivace u geriatrických pacientů po </w:t>
            </w:r>
            <w:proofErr w:type="spellStart"/>
            <w:r>
              <w:t>pertrochanterické</w:t>
            </w:r>
            <w:proofErr w:type="spellEnd"/>
            <w:r>
              <w:t xml:space="preserve"> zlomenině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B256DF">
            <w:r>
              <w:t>Monika Chytilová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B256DF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B256D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B256D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B256DF">
            <w:r>
              <w:t>Kvalita Příloh</w:t>
            </w:r>
            <w:r w:rsidR="00707EBF">
              <w:t xml:space="preserve">:        </w:t>
            </w:r>
            <w:sdt>
              <w:sdtPr>
                <w:id w:val="1299268243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75286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836E5" w:rsidP="00B256DF"/>
        </w:tc>
        <w:tc>
          <w:tcPr>
            <w:tcW w:w="1417" w:type="dxa"/>
            <w:gridSpan w:val="4"/>
          </w:tcPr>
          <w:p w:rsidR="00F836E5" w:rsidRDefault="00F836E5" w:rsidP="00B256DF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B256DF">
            <w:r>
              <w:t>Téma práce je aktuální, text je čtivý a zajímavý. O přínosu práce nelze mít nejmenších pochyb. Je však velkou škodou, že se v logicky plynoucím a pěkně stylizovaném textu objevují věty nejen s překlepy, ale i s vadnými formulacemi, které nedávají smysl. Například na straně 16</w:t>
            </w:r>
            <w:r w:rsidR="00CE244C">
              <w:t xml:space="preserve"> se </w:t>
            </w:r>
            <w:proofErr w:type="gramStart"/>
            <w:r w:rsidR="00CE244C">
              <w:t xml:space="preserve">nachází </w:t>
            </w:r>
            <w:r>
              <w:t xml:space="preserve"> </w:t>
            </w:r>
            <w:r>
              <w:lastRenderedPageBreak/>
              <w:t>věta</w:t>
            </w:r>
            <w:proofErr w:type="gramEnd"/>
            <w:r>
              <w:t xml:space="preserve"> začínající slovy U starých lidí…</w:t>
            </w:r>
            <w:r w:rsidR="00E60827">
              <w:t>(viz text práce).</w:t>
            </w:r>
            <w:r>
              <w:t xml:space="preserve">  Těchto chybných míst lze nalézt více, což svědčí o malé pečlivosti při jinak nesporně dobrých schopnostech autorky. Cíle práce byly splněny.</w:t>
            </w:r>
            <w:r w:rsidR="00CE244C">
              <w:t xml:space="preserve"> Na straně 53 jsou nevhodně do jedné skupiny pacientů (senioři špatně snášející odloučení od rodiny) zařazeny skupiny, které byly původně v textu a grafických doplňcích vedeny jako dvě (senioři snášející odloučení špatně a senioři snášející odloučení spíše špatně). Tento postup není metodicky zcela správný.</w:t>
            </w:r>
          </w:p>
          <w:p w:rsidR="00CE244C" w:rsidRDefault="00CE244C">
            <w:r>
              <w:t xml:space="preserve">    Práce podtrhuje význam pozitivních rolí životních partnerů a rodin pro seniory léčené pro </w:t>
            </w:r>
            <w:proofErr w:type="spellStart"/>
            <w:r>
              <w:t>pertrochanterickou</w:t>
            </w:r>
            <w:proofErr w:type="spellEnd"/>
            <w:r>
              <w:t xml:space="preserve"> zlomeninu.  Tento aspekt nabízí rovněž využití pro praxi. 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60827">
              <w:rPr>
                <w:b/>
              </w:rPr>
              <w:t xml:space="preserve"> Asi třetina respondentů byla starší 75 let. Domníváte se, že výsledky Vaší studie mohly být ovlivněny případnými projevy demence některých z nich?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7528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5E4C88" w:rsidRDefault="00775286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87D8D" w:rsidP="00B256DF"/>
        </w:tc>
        <w:tc>
          <w:tcPr>
            <w:tcW w:w="882" w:type="dxa"/>
            <w:gridSpan w:val="2"/>
          </w:tcPr>
          <w:p w:rsidR="00487D8D" w:rsidRDefault="00487D8D" w:rsidP="00B256DF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B256DF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75286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256DF">
              <w:t xml:space="preserve"> </w:t>
            </w:r>
            <w:proofErr w:type="gramStart"/>
            <w:r w:rsidR="00B256DF">
              <w:t>19.5.2016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256DF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A2E" w:rsidRDefault="006A4A2E" w:rsidP="004C45B6">
      <w:pPr>
        <w:spacing w:after="0" w:line="240" w:lineRule="auto"/>
      </w:pPr>
      <w:r>
        <w:separator/>
      </w:r>
    </w:p>
  </w:endnote>
  <w:endnote w:type="continuationSeparator" w:id="0">
    <w:p w:rsidR="006A4A2E" w:rsidRDefault="006A4A2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A2E" w:rsidRDefault="006A4A2E" w:rsidP="004C45B6">
      <w:pPr>
        <w:spacing w:after="0" w:line="240" w:lineRule="auto"/>
      </w:pPr>
      <w:r>
        <w:separator/>
      </w:r>
    </w:p>
  </w:footnote>
  <w:footnote w:type="continuationSeparator" w:id="0">
    <w:p w:rsidR="006A4A2E" w:rsidRDefault="006A4A2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92C90"/>
    <w:rsid w:val="006A4A2E"/>
    <w:rsid w:val="006C5753"/>
    <w:rsid w:val="00705FA6"/>
    <w:rsid w:val="00707EBF"/>
    <w:rsid w:val="0071495A"/>
    <w:rsid w:val="00730C11"/>
    <w:rsid w:val="00775286"/>
    <w:rsid w:val="00863347"/>
    <w:rsid w:val="00900ED0"/>
    <w:rsid w:val="009246F8"/>
    <w:rsid w:val="0098046A"/>
    <w:rsid w:val="0099475D"/>
    <w:rsid w:val="00996161"/>
    <w:rsid w:val="00A32848"/>
    <w:rsid w:val="00AB7549"/>
    <w:rsid w:val="00AC785B"/>
    <w:rsid w:val="00B256DF"/>
    <w:rsid w:val="00BA74A0"/>
    <w:rsid w:val="00BC2A63"/>
    <w:rsid w:val="00BE3037"/>
    <w:rsid w:val="00BF794A"/>
    <w:rsid w:val="00C0316C"/>
    <w:rsid w:val="00C61293"/>
    <w:rsid w:val="00C64D29"/>
    <w:rsid w:val="00CB0AEA"/>
    <w:rsid w:val="00CE244C"/>
    <w:rsid w:val="00CF543A"/>
    <w:rsid w:val="00CF5466"/>
    <w:rsid w:val="00D64B8B"/>
    <w:rsid w:val="00D82AEB"/>
    <w:rsid w:val="00D91D77"/>
    <w:rsid w:val="00DB6634"/>
    <w:rsid w:val="00E60827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6</cp:revision>
  <cp:lastPrinted>2015-09-02T08:37:00Z</cp:lastPrinted>
  <dcterms:created xsi:type="dcterms:W3CDTF">2016-05-18T17:53:00Z</dcterms:created>
  <dcterms:modified xsi:type="dcterms:W3CDTF">2016-05-18T18:13:00Z</dcterms:modified>
</cp:coreProperties>
</file>